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D2E3C" w14:textId="31E797DD" w:rsidR="00651E67" w:rsidRDefault="0099284F" w:rsidP="00651E67">
      <w:bookmarkStart w:id="0" w:name="_GoBack"/>
      <w:bookmarkEnd w:id="0"/>
      <w:r w:rsidRPr="0099284F">
        <w:t>La Empresa,</w:t>
      </w:r>
      <w:r w:rsidR="00651E67">
        <w:tab/>
      </w:r>
      <w:r w:rsidR="00651E67" w:rsidRPr="00651E67">
        <w:t>Asea Brown Boveri, S.A.</w:t>
      </w:r>
      <w:r w:rsidR="00651E67">
        <w:tab/>
      </w:r>
      <w:r w:rsidR="00651E67">
        <w:tab/>
      </w:r>
      <w:r w:rsidR="00651E67">
        <w:tab/>
      </w:r>
      <w:r w:rsidR="00651E67" w:rsidRPr="00651E67">
        <w:t>Documento Ref.</w:t>
      </w:r>
      <w:r w:rsidR="00651E67">
        <w:tab/>
      </w:r>
      <w:r w:rsidR="00651E67" w:rsidRPr="00651E67">
        <w:t>Edición</w:t>
      </w:r>
      <w:r w:rsidR="00651E67">
        <w:tab/>
      </w:r>
      <w:r w:rsidR="00651E67">
        <w:br/>
      </w:r>
      <w:proofErr w:type="spellStart"/>
      <w:r w:rsidR="00651E67" w:rsidRPr="00651E67">
        <w:t>The</w:t>
      </w:r>
      <w:proofErr w:type="spellEnd"/>
      <w:r w:rsidR="00651E67" w:rsidRPr="00651E67">
        <w:t xml:space="preserve"> Company,</w:t>
      </w:r>
      <w:r w:rsidR="00651E67">
        <w:tab/>
      </w:r>
      <w:r w:rsidR="00651E67" w:rsidRPr="00651E67">
        <w:rPr>
          <w:rFonts w:ascii="Helvetica" w:eastAsia="Times New Roman" w:hAnsi="Helvetica" w:cs="Times New Roman"/>
          <w:b/>
          <w:bCs/>
          <w:sz w:val="20"/>
          <w:szCs w:val="20"/>
          <w:lang w:eastAsia="es-ES"/>
        </w:rPr>
        <w:t>Fabrica NIESSEN</w:t>
      </w:r>
      <w:r w:rsidR="00651E67">
        <w:rPr>
          <w:rFonts w:ascii="Helvetica" w:eastAsia="Times New Roman" w:hAnsi="Helvetica" w:cs="Times New Roman"/>
          <w:b/>
          <w:bCs/>
          <w:sz w:val="20"/>
          <w:szCs w:val="20"/>
          <w:lang w:eastAsia="es-ES"/>
        </w:rPr>
        <w:tab/>
      </w:r>
      <w:r w:rsidR="00651E67">
        <w:rPr>
          <w:rFonts w:ascii="Helvetica" w:eastAsia="Times New Roman" w:hAnsi="Helvetica" w:cs="Times New Roman"/>
          <w:b/>
          <w:bCs/>
          <w:sz w:val="20"/>
          <w:szCs w:val="20"/>
          <w:lang w:eastAsia="es-ES"/>
        </w:rPr>
        <w:tab/>
      </w:r>
      <w:r w:rsidR="00651E67">
        <w:rPr>
          <w:rFonts w:ascii="Helvetica" w:eastAsia="Times New Roman" w:hAnsi="Helvetica" w:cs="Times New Roman"/>
          <w:b/>
          <w:bCs/>
          <w:sz w:val="20"/>
          <w:szCs w:val="20"/>
          <w:lang w:eastAsia="es-ES"/>
        </w:rPr>
        <w:tab/>
      </w:r>
      <w:r w:rsidR="00651E67">
        <w:rPr>
          <w:rFonts w:ascii="Helvetica" w:eastAsia="Times New Roman" w:hAnsi="Helvetica" w:cs="Times New Roman"/>
          <w:b/>
          <w:bCs/>
          <w:sz w:val="20"/>
          <w:szCs w:val="20"/>
          <w:lang w:eastAsia="es-ES"/>
        </w:rPr>
        <w:tab/>
      </w:r>
      <w:proofErr w:type="spellStart"/>
      <w:r w:rsidR="00651E67" w:rsidRPr="00651E67">
        <w:rPr>
          <w:rFonts w:ascii="Helvetica" w:eastAsia="Times New Roman" w:hAnsi="Helvetica" w:cs="Times New Roman"/>
          <w:b/>
          <w:bCs/>
          <w:sz w:val="20"/>
          <w:szCs w:val="20"/>
          <w:lang w:eastAsia="es-ES"/>
        </w:rPr>
        <w:t>Document</w:t>
      </w:r>
      <w:proofErr w:type="spellEnd"/>
      <w:r w:rsidR="00651E67" w:rsidRPr="00651E67">
        <w:rPr>
          <w:rFonts w:ascii="Helvetica" w:eastAsia="Times New Roman" w:hAnsi="Helvetica" w:cs="Times New Roman"/>
          <w:b/>
          <w:bCs/>
          <w:sz w:val="20"/>
          <w:szCs w:val="20"/>
          <w:lang w:eastAsia="es-ES"/>
        </w:rPr>
        <w:t xml:space="preserve"> Ref.</w:t>
      </w:r>
      <w:r w:rsidR="00651E67">
        <w:rPr>
          <w:rFonts w:ascii="Helvetica" w:eastAsia="Times New Roman" w:hAnsi="Helvetica" w:cs="Times New Roman"/>
          <w:b/>
          <w:bCs/>
          <w:sz w:val="20"/>
          <w:szCs w:val="20"/>
          <w:lang w:eastAsia="es-ES"/>
        </w:rPr>
        <w:tab/>
      </w:r>
      <w:r w:rsidR="00651E67">
        <w:rPr>
          <w:rFonts w:ascii="Helvetica" w:eastAsia="Times New Roman" w:hAnsi="Helvetica" w:cs="Times New Roman"/>
          <w:b/>
          <w:bCs/>
          <w:sz w:val="20"/>
          <w:szCs w:val="20"/>
          <w:lang w:eastAsia="es-ES"/>
        </w:rPr>
        <w:tab/>
      </w:r>
      <w:proofErr w:type="spellStart"/>
      <w:r w:rsidR="00651E67" w:rsidRPr="005E0A90">
        <w:rPr>
          <w:rFonts w:ascii="Helvetica" w:eastAsia="Times New Roman" w:hAnsi="Helvetica" w:cs="Times New Roman"/>
          <w:b/>
          <w:bCs/>
          <w:sz w:val="20"/>
          <w:szCs w:val="20"/>
          <w:lang w:eastAsia="es-ES"/>
        </w:rPr>
        <w:t>Edition</w:t>
      </w:r>
      <w:proofErr w:type="spellEnd"/>
      <w:r w:rsidR="00651E67" w:rsidRPr="005E0A90">
        <w:br/>
      </w:r>
      <w:proofErr w:type="spellStart"/>
      <w:r w:rsidR="00651E67" w:rsidRPr="005E0A90">
        <w:t>L'entreprise</w:t>
      </w:r>
      <w:proofErr w:type="spellEnd"/>
      <w:r w:rsidR="00651E67" w:rsidRPr="005E0A90">
        <w:t>,</w:t>
      </w:r>
      <w:r w:rsidR="00651E67" w:rsidRPr="005E0A90">
        <w:tab/>
        <w:t xml:space="preserve">Polígono industrial Aranguren </w:t>
      </w:r>
      <w:proofErr w:type="spellStart"/>
      <w:r w:rsidR="00651E67" w:rsidRPr="005E0A90">
        <w:t>nº</w:t>
      </w:r>
      <w:proofErr w:type="spellEnd"/>
      <w:r w:rsidR="00651E67" w:rsidRPr="005E0A90">
        <w:t xml:space="preserve"> 6</w:t>
      </w:r>
      <w:r w:rsidR="00651E67" w:rsidRPr="005E0A90">
        <w:tab/>
      </w:r>
      <w:r w:rsidR="00651E67" w:rsidRPr="005E0A90">
        <w:tab/>
      </w:r>
      <w:proofErr w:type="spellStart"/>
      <w:r w:rsidR="00651E67" w:rsidRPr="005E0A90">
        <w:t>Document</w:t>
      </w:r>
      <w:proofErr w:type="spellEnd"/>
      <w:r w:rsidR="00651E67" w:rsidRPr="005E0A90">
        <w:t xml:space="preserve"> Ref.</w:t>
      </w:r>
      <w:r w:rsidR="00651E67" w:rsidRPr="005E0A90">
        <w:tab/>
      </w:r>
      <w:r w:rsidR="00651E67" w:rsidRPr="005E0A90">
        <w:tab/>
      </w:r>
      <w:proofErr w:type="spellStart"/>
      <w:r w:rsidR="00651E67" w:rsidRPr="00651E67">
        <w:t>Édition</w:t>
      </w:r>
      <w:proofErr w:type="spellEnd"/>
      <w:r w:rsidR="00651E67" w:rsidRPr="00651E67">
        <w:br/>
        <w:t xml:space="preserve"> </w:t>
      </w:r>
      <w:r w:rsidR="00651E67" w:rsidRPr="00651E67">
        <w:tab/>
      </w:r>
      <w:r w:rsidR="00651E67" w:rsidRPr="00651E67">
        <w:tab/>
        <w:t>20180-Oiartzun (Gipuzkoa), SPAIN.</w:t>
      </w:r>
      <w:r w:rsidR="00651E67" w:rsidRPr="00651E67">
        <w:tab/>
      </w:r>
      <w:r w:rsidR="00651E67" w:rsidRPr="00651E67">
        <w:tab/>
      </w:r>
      <w:r w:rsidR="009252B4" w:rsidRPr="009252B4">
        <w:t>9AKK107492A6484</w:t>
      </w:r>
      <w:r w:rsidR="00651E67" w:rsidRPr="009252B4">
        <w:tab/>
        <w:t>A</w:t>
      </w:r>
    </w:p>
    <w:p w14:paraId="6799D0EB" w14:textId="3EAC687C" w:rsidR="0099284F" w:rsidRDefault="00651E67">
      <w:r w:rsidRPr="00DE7F44">
        <w:rPr>
          <w:b/>
        </w:rPr>
        <w:t>Declara que los productos detallados a continuación:</w:t>
      </w:r>
      <w:r>
        <w:br/>
      </w:r>
      <w:r w:rsidRPr="00651E67">
        <w:t xml:space="preserve">Declare </w:t>
      </w:r>
      <w:proofErr w:type="spellStart"/>
      <w:r w:rsidRPr="00651E67">
        <w:t>that</w:t>
      </w:r>
      <w:proofErr w:type="spellEnd"/>
      <w:r w:rsidRPr="00651E67">
        <w:t xml:space="preserve"> </w:t>
      </w:r>
      <w:proofErr w:type="spellStart"/>
      <w:r w:rsidRPr="00651E67">
        <w:t>the</w:t>
      </w:r>
      <w:proofErr w:type="spellEnd"/>
      <w:r w:rsidRPr="00651E67">
        <w:t xml:space="preserve"> </w:t>
      </w:r>
      <w:proofErr w:type="spellStart"/>
      <w:r w:rsidRPr="00651E67">
        <w:t>products</w:t>
      </w:r>
      <w:proofErr w:type="spellEnd"/>
      <w:r w:rsidRPr="00651E67">
        <w:t xml:space="preserve"> </w:t>
      </w:r>
      <w:proofErr w:type="spellStart"/>
      <w:r w:rsidRPr="00651E67">
        <w:t>following</w:t>
      </w:r>
      <w:proofErr w:type="spellEnd"/>
      <w:r w:rsidRPr="00651E67">
        <w:t xml:space="preserve"> </w:t>
      </w:r>
      <w:proofErr w:type="spellStart"/>
      <w:r w:rsidRPr="00651E67">
        <w:t>detailed</w:t>
      </w:r>
      <w:proofErr w:type="spellEnd"/>
      <w:r w:rsidRPr="00651E67">
        <w:t>:</w:t>
      </w:r>
      <w:r>
        <w:br/>
      </w:r>
      <w:proofErr w:type="spellStart"/>
      <w:r w:rsidRPr="00651E67">
        <w:t>Déclare</w:t>
      </w:r>
      <w:proofErr w:type="spellEnd"/>
      <w:r w:rsidRPr="00651E67">
        <w:t xml:space="preserve"> que les </w:t>
      </w:r>
      <w:proofErr w:type="spellStart"/>
      <w:r w:rsidRPr="00651E67">
        <w:t>produits</w:t>
      </w:r>
      <w:proofErr w:type="spellEnd"/>
      <w:r w:rsidRPr="00651E67">
        <w:t xml:space="preserve"> </w:t>
      </w:r>
      <w:proofErr w:type="spellStart"/>
      <w:r w:rsidRPr="00651E67">
        <w:t>énumérés</w:t>
      </w:r>
      <w:proofErr w:type="spellEnd"/>
      <w:r w:rsidRPr="00651E67">
        <w:t xml:space="preserve"> </w:t>
      </w:r>
      <w:proofErr w:type="spellStart"/>
      <w:r w:rsidRPr="00651E67">
        <w:t>ci-dessous</w:t>
      </w:r>
      <w:proofErr w:type="spellEnd"/>
      <w:r w:rsidRPr="00651E67">
        <w:t>:</w:t>
      </w:r>
      <w:r>
        <w:br/>
      </w:r>
      <w:r w:rsidRPr="00DE7F44">
        <w:rPr>
          <w:b/>
        </w:rPr>
        <w:t>a la que se refiere esta declaración es conforme con la norma</w:t>
      </w:r>
      <w:r w:rsidR="004F5555">
        <w:rPr>
          <w:b/>
        </w:rPr>
        <w:t xml:space="preserve"> (s)</w:t>
      </w:r>
      <w:r w:rsidRPr="00DE7F44">
        <w:rPr>
          <w:b/>
        </w:rPr>
        <w:t xml:space="preserve"> siguiente (s) u otro documento (s).</w:t>
      </w:r>
      <w:r w:rsidR="0022356A">
        <w:rPr>
          <w:b/>
        </w:rPr>
        <w:br/>
      </w:r>
      <w:proofErr w:type="spellStart"/>
      <w:r w:rsidR="0022356A" w:rsidRPr="0022356A">
        <w:t>to</w:t>
      </w:r>
      <w:proofErr w:type="spellEnd"/>
      <w:r w:rsidR="0022356A" w:rsidRPr="0022356A">
        <w:t xml:space="preserve"> </w:t>
      </w:r>
      <w:proofErr w:type="spellStart"/>
      <w:r w:rsidR="0022356A" w:rsidRPr="0022356A">
        <w:t>which</w:t>
      </w:r>
      <w:proofErr w:type="spellEnd"/>
      <w:r w:rsidR="0022356A" w:rsidRPr="0022356A">
        <w:t xml:space="preserve"> </w:t>
      </w:r>
      <w:proofErr w:type="spellStart"/>
      <w:r w:rsidR="0022356A" w:rsidRPr="0022356A">
        <w:t>this</w:t>
      </w:r>
      <w:proofErr w:type="spellEnd"/>
      <w:r w:rsidR="0022356A" w:rsidRPr="0022356A">
        <w:t xml:space="preserve"> </w:t>
      </w:r>
      <w:proofErr w:type="spellStart"/>
      <w:r w:rsidR="0022356A" w:rsidRPr="0022356A">
        <w:t>declaration</w:t>
      </w:r>
      <w:proofErr w:type="spellEnd"/>
      <w:r w:rsidR="0022356A" w:rsidRPr="0022356A">
        <w:t xml:space="preserve"> relates </w:t>
      </w:r>
      <w:proofErr w:type="spellStart"/>
      <w:r w:rsidR="0022356A" w:rsidRPr="0022356A">
        <w:t>is</w:t>
      </w:r>
      <w:proofErr w:type="spellEnd"/>
      <w:r w:rsidR="0022356A" w:rsidRPr="0022356A">
        <w:t xml:space="preserve"> in </w:t>
      </w:r>
      <w:proofErr w:type="spellStart"/>
      <w:r w:rsidR="0022356A" w:rsidRPr="0022356A">
        <w:t>conformity</w:t>
      </w:r>
      <w:proofErr w:type="spellEnd"/>
      <w:r w:rsidR="0022356A" w:rsidRPr="0022356A">
        <w:t xml:space="preserve"> </w:t>
      </w:r>
      <w:proofErr w:type="spellStart"/>
      <w:r w:rsidR="0022356A" w:rsidRPr="0022356A">
        <w:t>with</w:t>
      </w:r>
      <w:proofErr w:type="spellEnd"/>
      <w:r w:rsidR="0022356A" w:rsidRPr="0022356A">
        <w:t xml:space="preserve"> </w:t>
      </w:r>
      <w:proofErr w:type="spellStart"/>
      <w:r w:rsidR="0022356A" w:rsidRPr="0022356A">
        <w:t>the</w:t>
      </w:r>
      <w:proofErr w:type="spellEnd"/>
      <w:r w:rsidR="0022356A" w:rsidRPr="0022356A">
        <w:t xml:space="preserve"> </w:t>
      </w:r>
      <w:proofErr w:type="spellStart"/>
      <w:r w:rsidR="0022356A" w:rsidRPr="0022356A">
        <w:t>following</w:t>
      </w:r>
      <w:proofErr w:type="spellEnd"/>
      <w:r w:rsidR="0022356A" w:rsidRPr="0022356A">
        <w:t xml:space="preserve"> standard(s) </w:t>
      </w:r>
      <w:proofErr w:type="spellStart"/>
      <w:r w:rsidR="0022356A" w:rsidRPr="0022356A">
        <w:t>or</w:t>
      </w:r>
      <w:proofErr w:type="spellEnd"/>
      <w:r w:rsidR="0022356A" w:rsidRPr="0022356A">
        <w:t xml:space="preserve"> </w:t>
      </w:r>
      <w:proofErr w:type="spellStart"/>
      <w:r w:rsidR="0022356A" w:rsidRPr="0022356A">
        <w:t>other</w:t>
      </w:r>
      <w:proofErr w:type="spellEnd"/>
      <w:r w:rsidR="0022356A" w:rsidRPr="0022356A">
        <w:t xml:space="preserve"> </w:t>
      </w:r>
      <w:proofErr w:type="spellStart"/>
      <w:r w:rsidR="0022356A" w:rsidRPr="0022356A">
        <w:t>document</w:t>
      </w:r>
      <w:proofErr w:type="spellEnd"/>
      <w:r w:rsidR="0022356A" w:rsidRPr="0022356A">
        <w:t>(s).</w:t>
      </w:r>
      <w:r>
        <w:br/>
      </w:r>
      <w:r w:rsidRPr="00651E67">
        <w:t xml:space="preserve">à </w:t>
      </w:r>
      <w:proofErr w:type="spellStart"/>
      <w:r w:rsidRPr="00651E67">
        <w:t>laquelle</w:t>
      </w:r>
      <w:proofErr w:type="spellEnd"/>
      <w:r w:rsidRPr="00651E67">
        <w:t xml:space="preserve"> se </w:t>
      </w:r>
      <w:proofErr w:type="spellStart"/>
      <w:r w:rsidRPr="00651E67">
        <w:t>rapporte</w:t>
      </w:r>
      <w:proofErr w:type="spellEnd"/>
      <w:r w:rsidRPr="00651E67">
        <w:t xml:space="preserve"> </w:t>
      </w:r>
      <w:proofErr w:type="spellStart"/>
      <w:r w:rsidRPr="00651E67">
        <w:t>cette</w:t>
      </w:r>
      <w:proofErr w:type="spellEnd"/>
      <w:r w:rsidRPr="00651E67">
        <w:t xml:space="preserve"> </w:t>
      </w:r>
      <w:proofErr w:type="spellStart"/>
      <w:r w:rsidRPr="00651E67">
        <w:t>déclaration</w:t>
      </w:r>
      <w:proofErr w:type="spellEnd"/>
      <w:r w:rsidRPr="00651E67">
        <w:t xml:space="preserve"> </w:t>
      </w:r>
      <w:proofErr w:type="spellStart"/>
      <w:r w:rsidRPr="00651E67">
        <w:t>est</w:t>
      </w:r>
      <w:proofErr w:type="spellEnd"/>
      <w:r w:rsidRPr="00651E67">
        <w:t xml:space="preserve"> conforme à la norme (s) </w:t>
      </w:r>
      <w:proofErr w:type="spellStart"/>
      <w:r w:rsidRPr="00651E67">
        <w:t>suivante</w:t>
      </w:r>
      <w:proofErr w:type="spellEnd"/>
      <w:r w:rsidRPr="00651E67">
        <w:t xml:space="preserve"> </w:t>
      </w:r>
      <w:proofErr w:type="spellStart"/>
      <w:r w:rsidRPr="00651E67">
        <w:t>ou</w:t>
      </w:r>
      <w:proofErr w:type="spellEnd"/>
      <w:r w:rsidRPr="00651E67">
        <w:t xml:space="preserve"> un </w:t>
      </w:r>
      <w:proofErr w:type="spellStart"/>
      <w:r w:rsidRPr="00651E67">
        <w:t>autre</w:t>
      </w:r>
      <w:proofErr w:type="spellEnd"/>
      <w:r w:rsidRPr="00651E67">
        <w:t xml:space="preserve"> </w:t>
      </w:r>
      <w:proofErr w:type="spellStart"/>
      <w:r w:rsidRPr="00651E67">
        <w:t>document</w:t>
      </w:r>
      <w:proofErr w:type="spellEnd"/>
      <w:r w:rsidRPr="00651E67">
        <w:t xml:space="preserve"> (s).</w:t>
      </w:r>
    </w:p>
    <w:p w14:paraId="12F0AF26" w14:textId="77777777" w:rsidR="00651E67" w:rsidRPr="009252B4" w:rsidRDefault="00651E67">
      <w:pPr>
        <w:rPr>
          <w:lang w:val="fr-FR"/>
        </w:rPr>
      </w:pPr>
      <w:r w:rsidRPr="009252B4">
        <w:rPr>
          <w:lang w:val="fr-FR"/>
        </w:rPr>
        <w:t>IEC60884-1</w:t>
      </w:r>
      <w:r w:rsidRPr="009252B4">
        <w:rPr>
          <w:lang w:val="fr-FR"/>
        </w:rPr>
        <w:br/>
      </w:r>
      <w:r w:rsidRPr="009252B4">
        <w:rPr>
          <w:b/>
          <w:lang w:val="fr-FR"/>
        </w:rPr>
        <w:t xml:space="preserve">Bases de toma de </w:t>
      </w:r>
      <w:proofErr w:type="spellStart"/>
      <w:r w:rsidRPr="009252B4">
        <w:rPr>
          <w:b/>
          <w:lang w:val="fr-FR"/>
        </w:rPr>
        <w:t>corriente</w:t>
      </w:r>
      <w:proofErr w:type="spellEnd"/>
      <w:r w:rsidRPr="009252B4">
        <w:rPr>
          <w:b/>
          <w:lang w:val="fr-FR"/>
        </w:rPr>
        <w:t xml:space="preserve"> y </w:t>
      </w:r>
      <w:proofErr w:type="spellStart"/>
      <w:r w:rsidRPr="009252B4">
        <w:rPr>
          <w:b/>
          <w:lang w:val="fr-FR"/>
        </w:rPr>
        <w:t>clavijas</w:t>
      </w:r>
      <w:proofErr w:type="spellEnd"/>
      <w:r w:rsidRPr="009252B4">
        <w:rPr>
          <w:b/>
          <w:lang w:val="fr-FR"/>
        </w:rPr>
        <w:t xml:space="preserve"> para </w:t>
      </w:r>
      <w:proofErr w:type="spellStart"/>
      <w:r w:rsidRPr="009252B4">
        <w:rPr>
          <w:b/>
          <w:lang w:val="fr-FR"/>
        </w:rPr>
        <w:t>usos</w:t>
      </w:r>
      <w:proofErr w:type="spellEnd"/>
      <w:r w:rsidR="0038347D" w:rsidRPr="009252B4">
        <w:rPr>
          <w:b/>
          <w:lang w:val="fr-FR"/>
        </w:rPr>
        <w:t xml:space="preserve"> – </w:t>
      </w:r>
      <w:r w:rsidRPr="009252B4">
        <w:rPr>
          <w:b/>
          <w:lang w:val="fr-FR"/>
        </w:rPr>
        <w:t xml:space="preserve">Parte </w:t>
      </w:r>
      <w:proofErr w:type="gramStart"/>
      <w:r w:rsidRPr="009252B4">
        <w:rPr>
          <w:b/>
          <w:lang w:val="fr-FR"/>
        </w:rPr>
        <w:t>1:</w:t>
      </w:r>
      <w:proofErr w:type="gramEnd"/>
      <w:r w:rsidRPr="009252B4">
        <w:rPr>
          <w:b/>
          <w:lang w:val="fr-FR"/>
        </w:rPr>
        <w:t xml:space="preserve"> </w:t>
      </w:r>
      <w:proofErr w:type="spellStart"/>
      <w:r w:rsidRPr="009252B4">
        <w:rPr>
          <w:b/>
          <w:lang w:val="fr-FR"/>
        </w:rPr>
        <w:t>Requisitos</w:t>
      </w:r>
      <w:proofErr w:type="spellEnd"/>
      <w:r w:rsidRPr="009252B4">
        <w:rPr>
          <w:b/>
          <w:lang w:val="fr-FR"/>
        </w:rPr>
        <w:t xml:space="preserve"> </w:t>
      </w:r>
      <w:proofErr w:type="spellStart"/>
      <w:r w:rsidRPr="009252B4">
        <w:rPr>
          <w:b/>
          <w:lang w:val="fr-FR"/>
        </w:rPr>
        <w:t>generales</w:t>
      </w:r>
      <w:proofErr w:type="spellEnd"/>
      <w:r w:rsidRPr="009252B4">
        <w:rPr>
          <w:b/>
          <w:lang w:val="fr-FR"/>
        </w:rPr>
        <w:t>.</w:t>
      </w:r>
      <w:r w:rsidRPr="009252B4">
        <w:rPr>
          <w:lang w:val="fr-FR"/>
        </w:rPr>
        <w:br/>
        <w:t>Plugs and socket-</w:t>
      </w:r>
      <w:proofErr w:type="spellStart"/>
      <w:r w:rsidRPr="009252B4">
        <w:rPr>
          <w:lang w:val="fr-FR"/>
        </w:rPr>
        <w:t>outlets</w:t>
      </w:r>
      <w:proofErr w:type="spellEnd"/>
      <w:r w:rsidRPr="009252B4">
        <w:rPr>
          <w:lang w:val="fr-FR"/>
        </w:rPr>
        <w:t xml:space="preserve"> for </w:t>
      </w:r>
      <w:proofErr w:type="spellStart"/>
      <w:r w:rsidRPr="009252B4">
        <w:rPr>
          <w:lang w:val="fr-FR"/>
        </w:rPr>
        <w:t>household</w:t>
      </w:r>
      <w:proofErr w:type="spellEnd"/>
      <w:r w:rsidRPr="009252B4">
        <w:rPr>
          <w:lang w:val="fr-FR"/>
        </w:rPr>
        <w:t xml:space="preserve"> and </w:t>
      </w:r>
      <w:proofErr w:type="spellStart"/>
      <w:r w:rsidRPr="009252B4">
        <w:rPr>
          <w:lang w:val="fr-FR"/>
        </w:rPr>
        <w:t>similar</w:t>
      </w:r>
      <w:proofErr w:type="spellEnd"/>
      <w:r w:rsidR="0038347D" w:rsidRPr="009252B4">
        <w:rPr>
          <w:lang w:val="fr-FR"/>
        </w:rPr>
        <w:t xml:space="preserve"> – Part 1: General </w:t>
      </w:r>
      <w:proofErr w:type="spellStart"/>
      <w:r w:rsidR="0038347D" w:rsidRPr="009252B4">
        <w:rPr>
          <w:lang w:val="fr-FR"/>
        </w:rPr>
        <w:t>requirements</w:t>
      </w:r>
      <w:proofErr w:type="spellEnd"/>
      <w:r w:rsidRPr="009252B4">
        <w:rPr>
          <w:lang w:val="fr-FR"/>
        </w:rPr>
        <w:br/>
        <w:t>Prises de courant pour usages domestiques et analogues – Partie 1: Règles générales</w:t>
      </w:r>
    </w:p>
    <w:p w14:paraId="367C0E3C" w14:textId="77777777" w:rsidR="0038347D" w:rsidRPr="009252B4" w:rsidRDefault="0038347D">
      <w:pPr>
        <w:rPr>
          <w:lang w:val="fr-FR"/>
        </w:rPr>
      </w:pPr>
      <w:proofErr w:type="gramStart"/>
      <w:r w:rsidRPr="009252B4">
        <w:rPr>
          <w:b/>
          <w:lang w:val="fr-FR"/>
        </w:rPr>
        <w:t>y</w:t>
      </w:r>
      <w:proofErr w:type="gramEnd"/>
      <w:r w:rsidRPr="009252B4">
        <w:rPr>
          <w:b/>
          <w:lang w:val="fr-FR"/>
        </w:rPr>
        <w:t xml:space="preserve"> </w:t>
      </w:r>
      <w:proofErr w:type="spellStart"/>
      <w:r w:rsidRPr="009252B4">
        <w:rPr>
          <w:b/>
          <w:lang w:val="fr-FR"/>
        </w:rPr>
        <w:t>cumplen</w:t>
      </w:r>
      <w:proofErr w:type="spellEnd"/>
      <w:r w:rsidRPr="009252B4">
        <w:rPr>
          <w:b/>
          <w:lang w:val="fr-FR"/>
        </w:rPr>
        <w:t xml:space="preserve"> con los </w:t>
      </w:r>
      <w:proofErr w:type="spellStart"/>
      <w:r w:rsidRPr="009252B4">
        <w:rPr>
          <w:b/>
          <w:lang w:val="fr-FR"/>
        </w:rPr>
        <w:t>requisitos</w:t>
      </w:r>
      <w:proofErr w:type="spellEnd"/>
      <w:r w:rsidRPr="009252B4">
        <w:rPr>
          <w:b/>
          <w:lang w:val="fr-FR"/>
        </w:rPr>
        <w:t xml:space="preserve"> </w:t>
      </w:r>
      <w:proofErr w:type="spellStart"/>
      <w:r w:rsidRPr="009252B4">
        <w:rPr>
          <w:b/>
          <w:lang w:val="fr-FR"/>
        </w:rPr>
        <w:t>esenciales</w:t>
      </w:r>
      <w:proofErr w:type="spellEnd"/>
      <w:r w:rsidRPr="009252B4">
        <w:rPr>
          <w:b/>
          <w:lang w:val="fr-FR"/>
        </w:rPr>
        <w:t xml:space="preserve"> de las </w:t>
      </w:r>
      <w:proofErr w:type="spellStart"/>
      <w:r w:rsidRPr="009252B4">
        <w:rPr>
          <w:b/>
          <w:lang w:val="fr-FR"/>
        </w:rPr>
        <w:t>directivas</w:t>
      </w:r>
      <w:proofErr w:type="spellEnd"/>
      <w:r w:rsidRPr="009252B4">
        <w:rPr>
          <w:b/>
          <w:lang w:val="fr-FR"/>
        </w:rPr>
        <w:t xml:space="preserve"> del </w:t>
      </w:r>
      <w:proofErr w:type="spellStart"/>
      <w:r w:rsidRPr="009252B4">
        <w:rPr>
          <w:b/>
          <w:lang w:val="fr-FR"/>
        </w:rPr>
        <w:t>consejo</w:t>
      </w:r>
      <w:proofErr w:type="spellEnd"/>
      <w:r w:rsidRPr="009252B4">
        <w:rPr>
          <w:b/>
          <w:lang w:val="fr-FR"/>
        </w:rPr>
        <w:t xml:space="preserve"> para </w:t>
      </w:r>
      <w:proofErr w:type="spellStart"/>
      <w:r w:rsidRPr="009252B4">
        <w:rPr>
          <w:b/>
          <w:lang w:val="fr-FR"/>
        </w:rPr>
        <w:t>aproximar</w:t>
      </w:r>
      <w:proofErr w:type="spellEnd"/>
      <w:r w:rsidRPr="009252B4">
        <w:rPr>
          <w:b/>
          <w:lang w:val="fr-FR"/>
        </w:rPr>
        <w:t xml:space="preserve"> las </w:t>
      </w:r>
      <w:proofErr w:type="spellStart"/>
      <w:r w:rsidRPr="009252B4">
        <w:rPr>
          <w:b/>
          <w:lang w:val="fr-FR"/>
        </w:rPr>
        <w:t>legislaciones</w:t>
      </w:r>
      <w:proofErr w:type="spellEnd"/>
      <w:r w:rsidRPr="009252B4">
        <w:rPr>
          <w:b/>
          <w:lang w:val="fr-FR"/>
        </w:rPr>
        <w:t xml:space="preserve"> de los </w:t>
      </w:r>
      <w:proofErr w:type="spellStart"/>
      <w:r w:rsidRPr="009252B4">
        <w:rPr>
          <w:b/>
          <w:lang w:val="fr-FR"/>
        </w:rPr>
        <w:t>Estados</w:t>
      </w:r>
      <w:proofErr w:type="spellEnd"/>
      <w:r w:rsidRPr="009252B4">
        <w:rPr>
          <w:b/>
          <w:lang w:val="fr-FR"/>
        </w:rPr>
        <w:t xml:space="preserve"> </w:t>
      </w:r>
      <w:proofErr w:type="spellStart"/>
      <w:r w:rsidRPr="009252B4">
        <w:rPr>
          <w:b/>
          <w:lang w:val="fr-FR"/>
        </w:rPr>
        <w:t>miembros</w:t>
      </w:r>
      <w:proofErr w:type="spellEnd"/>
      <w:r w:rsidRPr="009252B4">
        <w:rPr>
          <w:b/>
          <w:lang w:val="fr-FR"/>
        </w:rPr>
        <w:t xml:space="preserve"> en </w:t>
      </w:r>
      <w:proofErr w:type="spellStart"/>
      <w:r w:rsidRPr="009252B4">
        <w:rPr>
          <w:b/>
          <w:lang w:val="fr-FR"/>
        </w:rPr>
        <w:t>materia</w:t>
      </w:r>
      <w:proofErr w:type="spellEnd"/>
      <w:r w:rsidRPr="009252B4">
        <w:rPr>
          <w:b/>
          <w:lang w:val="fr-FR"/>
        </w:rPr>
        <w:t xml:space="preserve"> de:</w:t>
      </w:r>
      <w:r w:rsidR="00DE7F44" w:rsidRPr="009252B4">
        <w:rPr>
          <w:b/>
          <w:lang w:val="fr-FR"/>
        </w:rPr>
        <w:br/>
      </w:r>
      <w:r w:rsidRPr="009252B4">
        <w:rPr>
          <w:lang w:val="fr-FR"/>
        </w:rPr>
        <w:t xml:space="preserve">and complies </w:t>
      </w:r>
      <w:proofErr w:type="spellStart"/>
      <w:r w:rsidRPr="009252B4">
        <w:rPr>
          <w:lang w:val="fr-FR"/>
        </w:rPr>
        <w:t>with</w:t>
      </w:r>
      <w:proofErr w:type="spellEnd"/>
      <w:r w:rsidRPr="009252B4">
        <w:rPr>
          <w:lang w:val="fr-FR"/>
        </w:rPr>
        <w:t xml:space="preserve"> the essential </w:t>
      </w:r>
      <w:proofErr w:type="spellStart"/>
      <w:r w:rsidRPr="009252B4">
        <w:rPr>
          <w:lang w:val="fr-FR"/>
        </w:rPr>
        <w:t>requirements</w:t>
      </w:r>
      <w:proofErr w:type="spellEnd"/>
      <w:r w:rsidRPr="009252B4">
        <w:rPr>
          <w:lang w:val="fr-FR"/>
        </w:rPr>
        <w:t xml:space="preserve"> of the </w:t>
      </w:r>
      <w:proofErr w:type="spellStart"/>
      <w:r w:rsidRPr="009252B4">
        <w:rPr>
          <w:lang w:val="fr-FR"/>
        </w:rPr>
        <w:t>following</w:t>
      </w:r>
      <w:proofErr w:type="spellEnd"/>
      <w:r w:rsidRPr="009252B4">
        <w:rPr>
          <w:lang w:val="fr-FR"/>
        </w:rPr>
        <w:t xml:space="preserve"> </w:t>
      </w:r>
      <w:proofErr w:type="spellStart"/>
      <w:r w:rsidRPr="009252B4">
        <w:rPr>
          <w:lang w:val="fr-FR"/>
        </w:rPr>
        <w:t>council</w:t>
      </w:r>
      <w:proofErr w:type="spellEnd"/>
      <w:r w:rsidRPr="009252B4">
        <w:rPr>
          <w:lang w:val="fr-FR"/>
        </w:rPr>
        <w:t xml:space="preserve"> directives:  </w:t>
      </w:r>
      <w:r w:rsidR="00DE7F44" w:rsidRPr="009252B4">
        <w:rPr>
          <w:lang w:val="fr-FR"/>
        </w:rPr>
        <w:br/>
      </w:r>
      <w:r w:rsidRPr="009252B4">
        <w:rPr>
          <w:lang w:val="fr-FR"/>
        </w:rPr>
        <w:t>et est conforme aux exigences essentielles des directives du conseil suivants:</w:t>
      </w:r>
    </w:p>
    <w:p w14:paraId="503AEDEF" w14:textId="77777777" w:rsidR="00080127" w:rsidRPr="009252B4" w:rsidRDefault="00E040FE" w:rsidP="00780286">
      <w:pPr>
        <w:ind w:left="705" w:hanging="705"/>
        <w:rPr>
          <w:lang w:val="fr-FR"/>
        </w:rPr>
      </w:pPr>
      <w:sdt>
        <w:sdtPr>
          <w:rPr>
            <w:b/>
            <w:lang w:val="fr-FR"/>
          </w:rPr>
          <w:id w:val="374818847"/>
          <w14:checkbox>
            <w14:checked w14:val="0"/>
            <w14:checkedState w14:val="2612" w14:font="MS Gothic"/>
            <w14:uncheckedState w14:val="2610" w14:font="MS Gothic"/>
          </w14:checkbox>
        </w:sdtPr>
        <w:sdtEndPr/>
        <w:sdtContent>
          <w:r w:rsidR="00B92267" w:rsidRPr="009252B4">
            <w:rPr>
              <w:rFonts w:ascii="MS Gothic" w:eastAsia="MS Gothic" w:hAnsi="MS Gothic" w:hint="eastAsia"/>
              <w:b/>
              <w:lang w:val="fr-FR"/>
            </w:rPr>
            <w:t>☐</w:t>
          </w:r>
        </w:sdtContent>
      </w:sdt>
      <w:r w:rsidR="00780286" w:rsidRPr="009252B4">
        <w:rPr>
          <w:b/>
          <w:lang w:val="fr-FR"/>
        </w:rPr>
        <w:tab/>
      </w:r>
      <w:r w:rsidR="00080127" w:rsidRPr="009252B4">
        <w:rPr>
          <w:b/>
          <w:lang w:val="fr-FR"/>
        </w:rPr>
        <w:t xml:space="preserve">DIRECTIVA 2014/35/UE Baja </w:t>
      </w:r>
      <w:proofErr w:type="spellStart"/>
      <w:r w:rsidR="00080127" w:rsidRPr="009252B4">
        <w:rPr>
          <w:b/>
          <w:lang w:val="fr-FR"/>
        </w:rPr>
        <w:t>Tensión</w:t>
      </w:r>
      <w:proofErr w:type="spellEnd"/>
      <w:r w:rsidR="00080127" w:rsidRPr="009252B4">
        <w:rPr>
          <w:lang w:val="fr-FR"/>
        </w:rPr>
        <w:br/>
        <w:t>DIRECTIVE 2014/35/EU Low voltage</w:t>
      </w:r>
      <w:r w:rsidR="00080127" w:rsidRPr="009252B4">
        <w:rPr>
          <w:lang w:val="fr-FR"/>
        </w:rPr>
        <w:br/>
        <w:t xml:space="preserve">DIRECTIVE 2014/35/EU Basse </w:t>
      </w:r>
      <w:proofErr w:type="spellStart"/>
      <w:r w:rsidR="00080127" w:rsidRPr="009252B4">
        <w:rPr>
          <w:lang w:val="fr-FR"/>
        </w:rPr>
        <w:t>tensión</w:t>
      </w:r>
      <w:proofErr w:type="spellEnd"/>
    </w:p>
    <w:p w14:paraId="7FC6D75E" w14:textId="77777777" w:rsidR="00080127" w:rsidRPr="009252B4" w:rsidRDefault="00E040FE" w:rsidP="00780286">
      <w:pPr>
        <w:ind w:left="705" w:hanging="705"/>
        <w:rPr>
          <w:lang w:val="fr-FR"/>
        </w:rPr>
      </w:pPr>
      <w:sdt>
        <w:sdtPr>
          <w:rPr>
            <w:b/>
            <w:lang w:val="fr-FR"/>
          </w:rPr>
          <w:id w:val="1268347123"/>
          <w14:checkbox>
            <w14:checked w14:val="0"/>
            <w14:checkedState w14:val="2612" w14:font="MS Gothic"/>
            <w14:uncheckedState w14:val="2610" w14:font="MS Gothic"/>
          </w14:checkbox>
        </w:sdtPr>
        <w:sdtEndPr/>
        <w:sdtContent>
          <w:r w:rsidR="00B92267" w:rsidRPr="009252B4">
            <w:rPr>
              <w:rFonts w:ascii="MS Gothic" w:eastAsia="MS Gothic" w:hAnsi="MS Gothic" w:hint="eastAsia"/>
              <w:b/>
              <w:lang w:val="fr-FR"/>
            </w:rPr>
            <w:t>☐</w:t>
          </w:r>
        </w:sdtContent>
      </w:sdt>
      <w:r w:rsidR="00780286" w:rsidRPr="009252B4">
        <w:rPr>
          <w:b/>
          <w:lang w:val="fr-FR"/>
        </w:rPr>
        <w:tab/>
      </w:r>
      <w:r w:rsidR="00080127" w:rsidRPr="009252B4">
        <w:rPr>
          <w:b/>
          <w:lang w:val="fr-FR"/>
        </w:rPr>
        <w:t xml:space="preserve">DIRECTIVA 2014/30/UE </w:t>
      </w:r>
      <w:proofErr w:type="spellStart"/>
      <w:r w:rsidR="00080127" w:rsidRPr="009252B4">
        <w:rPr>
          <w:b/>
          <w:lang w:val="fr-FR"/>
        </w:rPr>
        <w:t>Compatibilidad</w:t>
      </w:r>
      <w:proofErr w:type="spellEnd"/>
      <w:r w:rsidR="00080127" w:rsidRPr="009252B4">
        <w:rPr>
          <w:b/>
          <w:lang w:val="fr-FR"/>
        </w:rPr>
        <w:t xml:space="preserve"> </w:t>
      </w:r>
      <w:proofErr w:type="spellStart"/>
      <w:r w:rsidR="00080127" w:rsidRPr="009252B4">
        <w:rPr>
          <w:b/>
          <w:lang w:val="fr-FR"/>
        </w:rPr>
        <w:t>electromagnética</w:t>
      </w:r>
      <w:proofErr w:type="spellEnd"/>
      <w:r w:rsidR="00080127" w:rsidRPr="009252B4">
        <w:rPr>
          <w:b/>
          <w:lang w:val="fr-FR"/>
        </w:rPr>
        <w:t xml:space="preserve"> (</w:t>
      </w:r>
      <w:proofErr w:type="spellStart"/>
      <w:r w:rsidR="00080127" w:rsidRPr="009252B4">
        <w:rPr>
          <w:b/>
          <w:lang w:val="fr-FR"/>
        </w:rPr>
        <w:t>refundición</w:t>
      </w:r>
      <w:proofErr w:type="spellEnd"/>
      <w:r w:rsidR="00080127" w:rsidRPr="009252B4">
        <w:rPr>
          <w:b/>
          <w:lang w:val="fr-FR"/>
        </w:rPr>
        <w:t>)</w:t>
      </w:r>
      <w:r w:rsidR="00080127" w:rsidRPr="009252B4">
        <w:rPr>
          <w:b/>
          <w:lang w:val="fr-FR"/>
        </w:rPr>
        <w:br/>
      </w:r>
      <w:r w:rsidR="00080127" w:rsidRPr="009252B4">
        <w:rPr>
          <w:lang w:val="fr-FR"/>
        </w:rPr>
        <w:t xml:space="preserve">DIRECTIVE 2014/30/EU </w:t>
      </w:r>
      <w:proofErr w:type="spellStart"/>
      <w:r w:rsidR="00080127" w:rsidRPr="009252B4">
        <w:rPr>
          <w:lang w:val="fr-FR"/>
        </w:rPr>
        <w:t>Electromagnetic</w:t>
      </w:r>
      <w:proofErr w:type="spellEnd"/>
      <w:r w:rsidR="00080127" w:rsidRPr="009252B4">
        <w:rPr>
          <w:lang w:val="fr-FR"/>
        </w:rPr>
        <w:t xml:space="preserve"> compatibility (</w:t>
      </w:r>
      <w:proofErr w:type="spellStart"/>
      <w:r w:rsidR="00080127" w:rsidRPr="009252B4">
        <w:rPr>
          <w:lang w:val="fr-FR"/>
        </w:rPr>
        <w:t>recast</w:t>
      </w:r>
      <w:proofErr w:type="spellEnd"/>
      <w:r w:rsidR="00080127" w:rsidRPr="009252B4">
        <w:rPr>
          <w:lang w:val="fr-FR"/>
        </w:rPr>
        <w:t>)</w:t>
      </w:r>
      <w:r w:rsidR="00080127" w:rsidRPr="009252B4">
        <w:rPr>
          <w:lang w:val="fr-FR"/>
        </w:rPr>
        <w:br/>
        <w:t>DIRECTIVE 2014/30/</w:t>
      </w:r>
      <w:proofErr w:type="gramStart"/>
      <w:r w:rsidR="00080127" w:rsidRPr="009252B4">
        <w:rPr>
          <w:lang w:val="fr-FR"/>
        </w:rPr>
        <w:t>UE  Compatibilité</w:t>
      </w:r>
      <w:proofErr w:type="gramEnd"/>
      <w:r w:rsidR="00080127" w:rsidRPr="009252B4">
        <w:rPr>
          <w:lang w:val="fr-FR"/>
        </w:rPr>
        <w:t xml:space="preserve"> électromagnétique (refonte)</w:t>
      </w:r>
    </w:p>
    <w:p w14:paraId="7F8578AB" w14:textId="720DCB75" w:rsidR="00FD716C" w:rsidRPr="009252B4" w:rsidRDefault="00E040FE" w:rsidP="004F5555">
      <w:pPr>
        <w:ind w:left="705" w:hanging="705"/>
        <w:rPr>
          <w:lang w:val="fr-FR"/>
        </w:rPr>
      </w:pPr>
      <w:sdt>
        <w:sdtPr>
          <w:rPr>
            <w:b/>
            <w:lang w:val="fr-FR"/>
          </w:rPr>
          <w:id w:val="2143231800"/>
          <w14:checkbox>
            <w14:checked w14:val="1"/>
            <w14:checkedState w14:val="2612" w14:font="MS Gothic"/>
            <w14:uncheckedState w14:val="2610" w14:font="MS Gothic"/>
          </w14:checkbox>
        </w:sdtPr>
        <w:sdtEndPr/>
        <w:sdtContent>
          <w:r w:rsidR="004F5555" w:rsidRPr="009252B4">
            <w:rPr>
              <w:rFonts w:ascii="MS Gothic" w:eastAsia="MS Gothic" w:hAnsi="MS Gothic" w:hint="eastAsia"/>
              <w:b/>
              <w:lang w:val="fr-FR"/>
            </w:rPr>
            <w:t>☒</w:t>
          </w:r>
        </w:sdtContent>
      </w:sdt>
      <w:r w:rsidR="00780286" w:rsidRPr="009252B4">
        <w:rPr>
          <w:b/>
          <w:lang w:val="fr-FR"/>
        </w:rPr>
        <w:tab/>
      </w:r>
      <w:r w:rsidR="00080127" w:rsidRPr="009252B4">
        <w:rPr>
          <w:b/>
          <w:lang w:val="fr-FR"/>
        </w:rPr>
        <w:t>D</w:t>
      </w:r>
      <w:r w:rsidR="00780286" w:rsidRPr="009252B4">
        <w:rPr>
          <w:b/>
          <w:lang w:val="fr-FR"/>
        </w:rPr>
        <w:t>IRECTIVA</w:t>
      </w:r>
      <w:r w:rsidR="00080127" w:rsidRPr="009252B4">
        <w:rPr>
          <w:b/>
          <w:lang w:val="fr-FR"/>
        </w:rPr>
        <w:t xml:space="preserve"> 2011/65/UE Sobre </w:t>
      </w:r>
      <w:proofErr w:type="spellStart"/>
      <w:r w:rsidR="00080127" w:rsidRPr="009252B4">
        <w:rPr>
          <w:b/>
          <w:lang w:val="fr-FR"/>
        </w:rPr>
        <w:t>restricciones</w:t>
      </w:r>
      <w:proofErr w:type="spellEnd"/>
      <w:r w:rsidR="00080127" w:rsidRPr="009252B4">
        <w:rPr>
          <w:b/>
          <w:lang w:val="fr-FR"/>
        </w:rPr>
        <w:t xml:space="preserve"> a la </w:t>
      </w:r>
      <w:proofErr w:type="spellStart"/>
      <w:r w:rsidR="00080127" w:rsidRPr="009252B4">
        <w:rPr>
          <w:b/>
          <w:lang w:val="fr-FR"/>
        </w:rPr>
        <w:t>utilización</w:t>
      </w:r>
      <w:proofErr w:type="spellEnd"/>
      <w:r w:rsidR="00080127" w:rsidRPr="009252B4">
        <w:rPr>
          <w:b/>
          <w:lang w:val="fr-FR"/>
        </w:rPr>
        <w:t xml:space="preserve"> de </w:t>
      </w:r>
      <w:proofErr w:type="spellStart"/>
      <w:r w:rsidR="00080127" w:rsidRPr="009252B4">
        <w:rPr>
          <w:b/>
          <w:lang w:val="fr-FR"/>
        </w:rPr>
        <w:t>determinadas</w:t>
      </w:r>
      <w:proofErr w:type="spellEnd"/>
      <w:r w:rsidR="00080127" w:rsidRPr="009252B4">
        <w:rPr>
          <w:b/>
          <w:lang w:val="fr-FR"/>
        </w:rPr>
        <w:t xml:space="preserve"> </w:t>
      </w:r>
      <w:proofErr w:type="spellStart"/>
      <w:r w:rsidR="00080127" w:rsidRPr="009252B4">
        <w:rPr>
          <w:b/>
          <w:lang w:val="fr-FR"/>
        </w:rPr>
        <w:t>sustancias</w:t>
      </w:r>
      <w:proofErr w:type="spellEnd"/>
      <w:r w:rsidR="00080127" w:rsidRPr="009252B4">
        <w:rPr>
          <w:lang w:val="fr-FR"/>
        </w:rPr>
        <w:t xml:space="preserve"> </w:t>
      </w:r>
      <w:proofErr w:type="spellStart"/>
      <w:r w:rsidR="00080127" w:rsidRPr="009252B4">
        <w:rPr>
          <w:b/>
          <w:lang w:val="fr-FR"/>
        </w:rPr>
        <w:t>peligrosas</w:t>
      </w:r>
      <w:proofErr w:type="spellEnd"/>
      <w:r w:rsidR="00080127" w:rsidRPr="009252B4">
        <w:rPr>
          <w:b/>
          <w:lang w:val="fr-FR"/>
        </w:rPr>
        <w:t xml:space="preserve"> en </w:t>
      </w:r>
      <w:proofErr w:type="spellStart"/>
      <w:r w:rsidR="00080127" w:rsidRPr="009252B4">
        <w:rPr>
          <w:b/>
          <w:lang w:val="fr-FR"/>
        </w:rPr>
        <w:t>aparatos</w:t>
      </w:r>
      <w:proofErr w:type="spellEnd"/>
      <w:r w:rsidR="00080127" w:rsidRPr="009252B4">
        <w:rPr>
          <w:b/>
          <w:lang w:val="fr-FR"/>
        </w:rPr>
        <w:t xml:space="preserve"> </w:t>
      </w:r>
      <w:proofErr w:type="spellStart"/>
      <w:r w:rsidR="00080127" w:rsidRPr="009252B4">
        <w:rPr>
          <w:b/>
          <w:lang w:val="fr-FR"/>
        </w:rPr>
        <w:t>eléctricos</w:t>
      </w:r>
      <w:proofErr w:type="spellEnd"/>
      <w:r w:rsidR="00080127" w:rsidRPr="009252B4">
        <w:rPr>
          <w:b/>
          <w:lang w:val="fr-FR"/>
        </w:rPr>
        <w:t xml:space="preserve"> y </w:t>
      </w:r>
      <w:proofErr w:type="spellStart"/>
      <w:r w:rsidR="00080127" w:rsidRPr="009252B4">
        <w:rPr>
          <w:b/>
          <w:lang w:val="fr-FR"/>
        </w:rPr>
        <w:t>electrónicos</w:t>
      </w:r>
      <w:proofErr w:type="spellEnd"/>
      <w:r w:rsidR="00080127" w:rsidRPr="009252B4">
        <w:rPr>
          <w:b/>
          <w:lang w:val="fr-FR"/>
        </w:rPr>
        <w:t xml:space="preserve"> (</w:t>
      </w:r>
      <w:proofErr w:type="spellStart"/>
      <w:r w:rsidR="00080127" w:rsidRPr="009252B4">
        <w:rPr>
          <w:b/>
          <w:lang w:val="fr-FR"/>
        </w:rPr>
        <w:t>refundición</w:t>
      </w:r>
      <w:proofErr w:type="spellEnd"/>
      <w:r w:rsidR="00080127" w:rsidRPr="009252B4">
        <w:rPr>
          <w:b/>
          <w:lang w:val="fr-FR"/>
        </w:rPr>
        <w:t>)</w:t>
      </w:r>
      <w:r w:rsidR="00080127" w:rsidRPr="009252B4">
        <w:rPr>
          <w:b/>
          <w:lang w:val="fr-FR"/>
        </w:rPr>
        <w:br/>
      </w:r>
      <w:r w:rsidR="00080127" w:rsidRPr="009252B4">
        <w:rPr>
          <w:lang w:val="fr-FR"/>
        </w:rPr>
        <w:t xml:space="preserve">DIRECTIVE 2011/65/EU on the restriction of the use of certain </w:t>
      </w:r>
      <w:proofErr w:type="spellStart"/>
      <w:r w:rsidR="00080127" w:rsidRPr="009252B4">
        <w:rPr>
          <w:lang w:val="fr-FR"/>
        </w:rPr>
        <w:t>hazardous</w:t>
      </w:r>
      <w:proofErr w:type="spellEnd"/>
      <w:r w:rsidR="00080127" w:rsidRPr="009252B4">
        <w:rPr>
          <w:lang w:val="fr-FR"/>
        </w:rPr>
        <w:t xml:space="preserve"> substances in </w:t>
      </w:r>
      <w:proofErr w:type="spellStart"/>
      <w:r w:rsidR="00080127" w:rsidRPr="009252B4">
        <w:rPr>
          <w:lang w:val="fr-FR"/>
        </w:rPr>
        <w:t>electrical</w:t>
      </w:r>
      <w:proofErr w:type="spellEnd"/>
      <w:r w:rsidR="00080127" w:rsidRPr="009252B4">
        <w:rPr>
          <w:lang w:val="fr-FR"/>
        </w:rPr>
        <w:t xml:space="preserve"> and </w:t>
      </w:r>
      <w:proofErr w:type="spellStart"/>
      <w:r w:rsidR="00080127" w:rsidRPr="009252B4">
        <w:rPr>
          <w:lang w:val="fr-FR"/>
        </w:rPr>
        <w:t>electronic</w:t>
      </w:r>
      <w:proofErr w:type="spellEnd"/>
      <w:r w:rsidR="00080127" w:rsidRPr="009252B4">
        <w:rPr>
          <w:lang w:val="fr-FR"/>
        </w:rPr>
        <w:t xml:space="preserve"> </w:t>
      </w:r>
      <w:proofErr w:type="spellStart"/>
      <w:r w:rsidR="00080127" w:rsidRPr="009252B4">
        <w:rPr>
          <w:lang w:val="fr-FR"/>
        </w:rPr>
        <w:t>equipment</w:t>
      </w:r>
      <w:proofErr w:type="spellEnd"/>
      <w:r w:rsidR="00080127" w:rsidRPr="009252B4">
        <w:rPr>
          <w:lang w:val="fr-FR"/>
        </w:rPr>
        <w:t xml:space="preserve"> (</w:t>
      </w:r>
      <w:proofErr w:type="spellStart"/>
      <w:r w:rsidR="00080127" w:rsidRPr="009252B4">
        <w:rPr>
          <w:lang w:val="fr-FR"/>
        </w:rPr>
        <w:t>recast</w:t>
      </w:r>
      <w:proofErr w:type="spellEnd"/>
      <w:r w:rsidR="00080127" w:rsidRPr="009252B4">
        <w:rPr>
          <w:lang w:val="fr-FR"/>
        </w:rPr>
        <w:t>)</w:t>
      </w:r>
      <w:r w:rsidR="00080127" w:rsidRPr="009252B4">
        <w:rPr>
          <w:lang w:val="fr-FR"/>
        </w:rPr>
        <w:br/>
        <w:t xml:space="preserve">DIRECTIVE 2011/65 / </w:t>
      </w:r>
      <w:proofErr w:type="gramStart"/>
      <w:r w:rsidR="00080127" w:rsidRPr="009252B4">
        <w:rPr>
          <w:lang w:val="fr-FR"/>
        </w:rPr>
        <w:t>UE  Sur</w:t>
      </w:r>
      <w:proofErr w:type="gramEnd"/>
      <w:r w:rsidR="00080127" w:rsidRPr="009252B4">
        <w:rPr>
          <w:lang w:val="fr-FR"/>
        </w:rPr>
        <w:t xml:space="preserve"> la limitation de l'utilisation de certaines substances dangereuses dans les équipements électriques et électroniques (refonte)</w:t>
      </w:r>
    </w:p>
    <w:p w14:paraId="3E73231E" w14:textId="3454142C" w:rsidR="007A73A0" w:rsidRPr="009252B4" w:rsidRDefault="007A73A0" w:rsidP="007A73A0">
      <w:pPr>
        <w:rPr>
          <w:lang w:val="fr-FR"/>
        </w:rPr>
      </w:pPr>
    </w:p>
    <w:p w14:paraId="1896B813" w14:textId="69206D71" w:rsidR="00D263CB" w:rsidRPr="009252B4" w:rsidRDefault="00D263CB" w:rsidP="007A73A0">
      <w:pPr>
        <w:rPr>
          <w:lang w:val="fr-FR"/>
        </w:rPr>
      </w:pPr>
    </w:p>
    <w:p w14:paraId="1C137F44" w14:textId="330606CE" w:rsidR="00D263CB" w:rsidRPr="009252B4" w:rsidRDefault="00D263CB" w:rsidP="007A73A0">
      <w:pPr>
        <w:rPr>
          <w:lang w:val="fr-FR"/>
        </w:rPr>
      </w:pPr>
    </w:p>
    <w:p w14:paraId="093FE208" w14:textId="77777777" w:rsidR="00D263CB" w:rsidRPr="009252B4" w:rsidRDefault="00D263CB" w:rsidP="007A73A0">
      <w:pPr>
        <w:rPr>
          <w:lang w:val="fr-FR"/>
        </w:rPr>
      </w:pPr>
    </w:p>
    <w:tbl>
      <w:tblPr>
        <w:tblStyle w:val="TableGrid"/>
        <w:tblW w:w="9073" w:type="dxa"/>
        <w:tblInd w:w="-289" w:type="dxa"/>
        <w:tblLook w:val="04A0" w:firstRow="1" w:lastRow="0" w:firstColumn="1" w:lastColumn="0" w:noHBand="0" w:noVBand="1"/>
      </w:tblPr>
      <w:tblGrid>
        <w:gridCol w:w="2127"/>
        <w:gridCol w:w="2693"/>
        <w:gridCol w:w="4253"/>
      </w:tblGrid>
      <w:tr w:rsidR="007A73A0" w:rsidRPr="009252B4" w14:paraId="20209A09" w14:textId="77777777" w:rsidTr="006A40DD">
        <w:tc>
          <w:tcPr>
            <w:tcW w:w="2127" w:type="dxa"/>
            <w:vAlign w:val="center"/>
          </w:tcPr>
          <w:p w14:paraId="62171E6C" w14:textId="77777777" w:rsidR="007A73A0" w:rsidRDefault="007A73A0" w:rsidP="006A40DD">
            <w:pPr>
              <w:jc w:val="center"/>
            </w:pPr>
            <w:r w:rsidRPr="00DE7F44">
              <w:rPr>
                <w:b/>
              </w:rPr>
              <w:lastRenderedPageBreak/>
              <w:t>- Referencia Mecanismo</w:t>
            </w:r>
            <w:r w:rsidRPr="007A73A0">
              <w:t xml:space="preserve">                    - </w:t>
            </w:r>
            <w:proofErr w:type="spellStart"/>
            <w:r w:rsidRPr="007A73A0">
              <w:t>Mechanism</w:t>
            </w:r>
            <w:proofErr w:type="spellEnd"/>
            <w:r w:rsidRPr="007A73A0">
              <w:t xml:space="preserve"> Reference                     - </w:t>
            </w:r>
            <w:proofErr w:type="spellStart"/>
            <w:r w:rsidRPr="007A73A0">
              <w:t>Mécanisme</w:t>
            </w:r>
            <w:proofErr w:type="spellEnd"/>
            <w:r w:rsidRPr="007A73A0">
              <w:t xml:space="preserve"> de </w:t>
            </w:r>
            <w:proofErr w:type="spellStart"/>
            <w:r w:rsidRPr="007A73A0">
              <w:t>référence</w:t>
            </w:r>
            <w:proofErr w:type="spellEnd"/>
          </w:p>
        </w:tc>
        <w:tc>
          <w:tcPr>
            <w:tcW w:w="2693" w:type="dxa"/>
            <w:vAlign w:val="center"/>
          </w:tcPr>
          <w:p w14:paraId="2BF6FDFC" w14:textId="77777777" w:rsidR="007A73A0" w:rsidRDefault="007A73A0" w:rsidP="006A40DD">
            <w:pPr>
              <w:jc w:val="center"/>
            </w:pPr>
            <w:r w:rsidRPr="00DE7F44">
              <w:rPr>
                <w:b/>
              </w:rPr>
              <w:t>-</w:t>
            </w:r>
            <w:r w:rsidR="00DE7F44">
              <w:rPr>
                <w:b/>
              </w:rPr>
              <w:t xml:space="preserve"> Denominación, Referencia tecla</w:t>
            </w:r>
            <w:r w:rsidRPr="00DE7F44">
              <w:t xml:space="preserve"> </w:t>
            </w:r>
            <w:r w:rsidRPr="007A73A0">
              <w:t xml:space="preserve">                                         - </w:t>
            </w:r>
            <w:proofErr w:type="spellStart"/>
            <w:r w:rsidRPr="007A73A0">
              <w:t>Name</w:t>
            </w:r>
            <w:proofErr w:type="spellEnd"/>
            <w:r w:rsidRPr="007A73A0">
              <w:t xml:space="preserve">, </w:t>
            </w:r>
            <w:proofErr w:type="spellStart"/>
            <w:r w:rsidRPr="007A73A0">
              <w:t>Rocker</w:t>
            </w:r>
            <w:proofErr w:type="spellEnd"/>
            <w:r w:rsidRPr="007A73A0">
              <w:t xml:space="preserve"> </w:t>
            </w:r>
            <w:proofErr w:type="spellStart"/>
            <w:r w:rsidRPr="007A73A0">
              <w:t>reference</w:t>
            </w:r>
            <w:proofErr w:type="spellEnd"/>
            <w:r w:rsidRPr="007A73A0">
              <w:t xml:space="preserve">                              - </w:t>
            </w:r>
            <w:proofErr w:type="spellStart"/>
            <w:r w:rsidRPr="007A73A0">
              <w:t>Nom</w:t>
            </w:r>
            <w:proofErr w:type="spellEnd"/>
            <w:r w:rsidRPr="007A73A0">
              <w:t xml:space="preserve">, </w:t>
            </w:r>
            <w:proofErr w:type="spellStart"/>
            <w:r w:rsidRPr="007A73A0">
              <w:t>référence</w:t>
            </w:r>
            <w:proofErr w:type="spellEnd"/>
            <w:r w:rsidRPr="007A73A0">
              <w:t xml:space="preserve"> </w:t>
            </w:r>
            <w:proofErr w:type="spellStart"/>
            <w:r w:rsidRPr="007A73A0">
              <w:t>clé</w:t>
            </w:r>
            <w:proofErr w:type="spellEnd"/>
            <w:r w:rsidRPr="007A73A0">
              <w:t xml:space="preserve"> -</w:t>
            </w:r>
          </w:p>
        </w:tc>
        <w:tc>
          <w:tcPr>
            <w:tcW w:w="4253" w:type="dxa"/>
            <w:vAlign w:val="center"/>
          </w:tcPr>
          <w:p w14:paraId="3D7A83D7" w14:textId="77777777" w:rsidR="007A73A0" w:rsidRPr="009252B4" w:rsidRDefault="007A73A0" w:rsidP="006A40DD">
            <w:pPr>
              <w:jc w:val="center"/>
              <w:rPr>
                <w:lang w:val="fr-FR"/>
              </w:rPr>
            </w:pPr>
            <w:r w:rsidRPr="009252B4">
              <w:rPr>
                <w:b/>
                <w:lang w:val="fr-FR"/>
              </w:rPr>
              <w:t xml:space="preserve">- </w:t>
            </w:r>
            <w:proofErr w:type="spellStart"/>
            <w:r w:rsidRPr="009252B4">
              <w:rPr>
                <w:b/>
                <w:lang w:val="fr-FR"/>
              </w:rPr>
              <w:t>Descripción</w:t>
            </w:r>
            <w:proofErr w:type="spellEnd"/>
            <w:r w:rsidRPr="009252B4">
              <w:rPr>
                <w:b/>
                <w:lang w:val="fr-FR"/>
              </w:rPr>
              <w:t xml:space="preserve"> </w:t>
            </w:r>
            <w:proofErr w:type="spellStart"/>
            <w:r w:rsidRPr="009252B4">
              <w:rPr>
                <w:b/>
                <w:lang w:val="fr-FR"/>
              </w:rPr>
              <w:t>Producto</w:t>
            </w:r>
            <w:proofErr w:type="spellEnd"/>
            <w:r w:rsidRPr="009252B4">
              <w:rPr>
                <w:b/>
                <w:lang w:val="fr-FR"/>
              </w:rPr>
              <w:t xml:space="preserve">                                                                                      </w:t>
            </w:r>
            <w:r w:rsidRPr="009252B4">
              <w:rPr>
                <w:lang w:val="fr-FR"/>
              </w:rPr>
              <w:t>- Product Description                                                                                     - Description du produit</w:t>
            </w:r>
          </w:p>
        </w:tc>
      </w:tr>
      <w:tr w:rsidR="00776C58" w:rsidRPr="009252B4" w14:paraId="1F302FD7" w14:textId="77777777" w:rsidTr="006A40DD">
        <w:tc>
          <w:tcPr>
            <w:tcW w:w="2127" w:type="dxa"/>
            <w:vAlign w:val="center"/>
          </w:tcPr>
          <w:p w14:paraId="1DC21753" w14:textId="2202A229" w:rsidR="00776C58" w:rsidRPr="007A73A0" w:rsidRDefault="00776C58" w:rsidP="006A40DD">
            <w:pPr>
              <w:jc w:val="center"/>
            </w:pPr>
            <w:r>
              <w:rPr>
                <w:color w:val="000000"/>
              </w:rPr>
              <w:t>T2087 XX</w:t>
            </w:r>
          </w:p>
        </w:tc>
        <w:tc>
          <w:tcPr>
            <w:tcW w:w="2693" w:type="dxa"/>
            <w:vAlign w:val="center"/>
          </w:tcPr>
          <w:p w14:paraId="3A058CA4" w14:textId="1263A093" w:rsidR="00776C58" w:rsidRPr="007A73A0" w:rsidRDefault="00776C58" w:rsidP="006A40DD">
            <w:pPr>
              <w:jc w:val="center"/>
            </w:pPr>
            <w:r>
              <w:t>-</w:t>
            </w:r>
          </w:p>
        </w:tc>
        <w:tc>
          <w:tcPr>
            <w:tcW w:w="4253" w:type="dxa"/>
            <w:vAlign w:val="center"/>
          </w:tcPr>
          <w:p w14:paraId="01F13FFB" w14:textId="5F055F40" w:rsidR="00776C58" w:rsidRPr="009252B4" w:rsidRDefault="00776C58" w:rsidP="006A40DD">
            <w:pPr>
              <w:jc w:val="both"/>
              <w:rPr>
                <w:lang w:val="fr-FR"/>
              </w:rPr>
            </w:pPr>
            <w:r w:rsidRPr="009252B4">
              <w:rPr>
                <w:lang w:val="fr-FR"/>
              </w:rPr>
              <w:t xml:space="preserve">Base de </w:t>
            </w:r>
            <w:proofErr w:type="spellStart"/>
            <w:r w:rsidRPr="009252B4">
              <w:rPr>
                <w:lang w:val="fr-FR"/>
              </w:rPr>
              <w:t>enchufe</w:t>
            </w:r>
            <w:proofErr w:type="spellEnd"/>
            <w:r w:rsidRPr="009252B4">
              <w:rPr>
                <w:lang w:val="fr-FR"/>
              </w:rPr>
              <w:t xml:space="preserve"> </w:t>
            </w:r>
            <w:proofErr w:type="spellStart"/>
            <w:r w:rsidRPr="009252B4">
              <w:rPr>
                <w:lang w:val="fr-FR"/>
              </w:rPr>
              <w:t>tipo</w:t>
            </w:r>
            <w:proofErr w:type="spellEnd"/>
            <w:r w:rsidRPr="009252B4">
              <w:rPr>
                <w:lang w:val="fr-FR"/>
              </w:rPr>
              <w:t xml:space="preserve"> </w:t>
            </w:r>
            <w:proofErr w:type="spellStart"/>
            <w:r w:rsidRPr="009252B4">
              <w:rPr>
                <w:lang w:val="fr-FR"/>
              </w:rPr>
              <w:t>frances</w:t>
            </w:r>
            <w:proofErr w:type="spellEnd"/>
            <w:r w:rsidRPr="009252B4">
              <w:rPr>
                <w:lang w:val="fr-FR"/>
              </w:rPr>
              <w:t xml:space="preserve"> 2P+T bornes de </w:t>
            </w:r>
            <w:proofErr w:type="spellStart"/>
            <w:r w:rsidRPr="009252B4">
              <w:rPr>
                <w:lang w:val="fr-FR"/>
              </w:rPr>
              <w:t>tornillos</w:t>
            </w:r>
            <w:proofErr w:type="spellEnd"/>
            <w:r w:rsidRPr="009252B4">
              <w:rPr>
                <w:lang w:val="fr-FR"/>
              </w:rPr>
              <w:t xml:space="preserve"> / French Type 2P+Earth Socket </w:t>
            </w:r>
            <w:proofErr w:type="spellStart"/>
            <w:r w:rsidRPr="009252B4">
              <w:rPr>
                <w:lang w:val="fr-FR"/>
              </w:rPr>
              <w:t>outlet</w:t>
            </w:r>
            <w:proofErr w:type="spellEnd"/>
            <w:r w:rsidRPr="009252B4">
              <w:rPr>
                <w:lang w:val="fr-FR"/>
              </w:rPr>
              <w:t xml:space="preserve"> </w:t>
            </w:r>
            <w:proofErr w:type="spellStart"/>
            <w:r w:rsidRPr="009252B4">
              <w:rPr>
                <w:lang w:val="fr-FR"/>
              </w:rPr>
              <w:t>with</w:t>
            </w:r>
            <w:proofErr w:type="spellEnd"/>
            <w:r w:rsidRPr="009252B4">
              <w:rPr>
                <w:lang w:val="fr-FR"/>
              </w:rPr>
              <w:t xml:space="preserve"> </w:t>
            </w:r>
            <w:proofErr w:type="spellStart"/>
            <w:r w:rsidRPr="009252B4">
              <w:rPr>
                <w:lang w:val="fr-FR"/>
              </w:rPr>
              <w:t>screw</w:t>
            </w:r>
            <w:proofErr w:type="spellEnd"/>
            <w:r w:rsidRPr="009252B4">
              <w:rPr>
                <w:lang w:val="fr-FR"/>
              </w:rPr>
              <w:t xml:space="preserve"> terminal / Prise de courant française de type 2P + </w:t>
            </w:r>
            <w:proofErr w:type="spellStart"/>
            <w:r w:rsidRPr="009252B4">
              <w:rPr>
                <w:lang w:val="fr-FR"/>
              </w:rPr>
              <w:t>Earth</w:t>
            </w:r>
            <w:proofErr w:type="spellEnd"/>
            <w:r w:rsidRPr="009252B4">
              <w:rPr>
                <w:lang w:val="fr-FR"/>
              </w:rPr>
              <w:t xml:space="preserve"> avec bornes à vis.</w:t>
            </w:r>
          </w:p>
        </w:tc>
      </w:tr>
      <w:tr w:rsidR="00776C58" w:rsidRPr="00776C58" w14:paraId="70AC2E0E" w14:textId="77777777" w:rsidTr="006A40DD">
        <w:tc>
          <w:tcPr>
            <w:tcW w:w="2127" w:type="dxa"/>
            <w:vAlign w:val="center"/>
          </w:tcPr>
          <w:p w14:paraId="28F57DC1" w14:textId="5A13CCF8" w:rsidR="00776C58" w:rsidRPr="007A73A0" w:rsidRDefault="00776C58" w:rsidP="006A40DD">
            <w:pPr>
              <w:jc w:val="center"/>
            </w:pPr>
            <w:r>
              <w:rPr>
                <w:color w:val="000000"/>
              </w:rPr>
              <w:t>T2088 XX</w:t>
            </w:r>
          </w:p>
        </w:tc>
        <w:tc>
          <w:tcPr>
            <w:tcW w:w="2693" w:type="dxa"/>
            <w:vAlign w:val="center"/>
          </w:tcPr>
          <w:p w14:paraId="6CE60D02" w14:textId="1313E466" w:rsidR="00776C58" w:rsidRDefault="00776C58" w:rsidP="006A40DD">
            <w:pPr>
              <w:jc w:val="center"/>
              <w:rPr>
                <w:color w:val="000000"/>
              </w:rPr>
            </w:pPr>
            <w:r>
              <w:rPr>
                <w:color w:val="000000"/>
              </w:rPr>
              <w:t>-</w:t>
            </w:r>
          </w:p>
        </w:tc>
        <w:tc>
          <w:tcPr>
            <w:tcW w:w="4253" w:type="dxa"/>
            <w:vAlign w:val="center"/>
          </w:tcPr>
          <w:p w14:paraId="508DF2E5" w14:textId="4344E808" w:rsidR="00776C58" w:rsidRPr="009252B4" w:rsidRDefault="00776C58" w:rsidP="006A40DD">
            <w:pPr>
              <w:jc w:val="both"/>
            </w:pPr>
            <w:r w:rsidRPr="009252B4">
              <w:t xml:space="preserve">Base de enchufe tipo </w:t>
            </w:r>
            <w:proofErr w:type="spellStart"/>
            <w:r w:rsidRPr="009252B4">
              <w:t>Schuko</w:t>
            </w:r>
            <w:proofErr w:type="spellEnd"/>
            <w:r w:rsidRPr="009252B4">
              <w:t xml:space="preserve"> 2P+T bornes con tornillos / </w:t>
            </w:r>
            <w:proofErr w:type="spellStart"/>
            <w:r w:rsidRPr="009252B4">
              <w:t>Schuko</w:t>
            </w:r>
            <w:proofErr w:type="spellEnd"/>
            <w:r w:rsidRPr="009252B4">
              <w:t xml:space="preserve"> </w:t>
            </w:r>
            <w:proofErr w:type="spellStart"/>
            <w:r w:rsidRPr="009252B4">
              <w:t>Type</w:t>
            </w:r>
            <w:proofErr w:type="spellEnd"/>
            <w:r w:rsidRPr="009252B4">
              <w:t xml:space="preserve"> 2P+Earth Socket outlet </w:t>
            </w:r>
            <w:proofErr w:type="spellStart"/>
            <w:r w:rsidRPr="009252B4">
              <w:t>with</w:t>
            </w:r>
            <w:proofErr w:type="spellEnd"/>
            <w:r w:rsidRPr="009252B4">
              <w:t xml:space="preserve"> </w:t>
            </w:r>
            <w:proofErr w:type="spellStart"/>
            <w:r w:rsidRPr="009252B4">
              <w:t>screw</w:t>
            </w:r>
            <w:proofErr w:type="spellEnd"/>
            <w:r w:rsidRPr="009252B4">
              <w:t xml:space="preserve"> terminal / </w:t>
            </w:r>
            <w:proofErr w:type="spellStart"/>
            <w:r w:rsidRPr="009252B4">
              <w:t>Schuko</w:t>
            </w:r>
            <w:proofErr w:type="spellEnd"/>
            <w:r w:rsidRPr="009252B4">
              <w:t xml:space="preserve"> </w:t>
            </w:r>
            <w:proofErr w:type="spellStart"/>
            <w:r w:rsidRPr="009252B4">
              <w:t>Type</w:t>
            </w:r>
            <w:proofErr w:type="spellEnd"/>
            <w:r w:rsidRPr="009252B4">
              <w:t xml:space="preserve"> </w:t>
            </w:r>
            <w:proofErr w:type="spellStart"/>
            <w:r w:rsidRPr="009252B4">
              <w:t>Prise</w:t>
            </w:r>
            <w:proofErr w:type="spellEnd"/>
            <w:r w:rsidRPr="009252B4">
              <w:t xml:space="preserve"> de </w:t>
            </w:r>
            <w:proofErr w:type="spellStart"/>
            <w:r w:rsidRPr="009252B4">
              <w:t>courant</w:t>
            </w:r>
            <w:proofErr w:type="spellEnd"/>
            <w:r w:rsidRPr="009252B4">
              <w:t xml:space="preserve"> 2P + Terre, </w:t>
            </w:r>
            <w:proofErr w:type="spellStart"/>
            <w:r w:rsidRPr="009252B4">
              <w:t>avec</w:t>
            </w:r>
            <w:proofErr w:type="spellEnd"/>
            <w:r w:rsidRPr="009252B4">
              <w:t xml:space="preserve"> borne à vis</w:t>
            </w:r>
          </w:p>
        </w:tc>
      </w:tr>
      <w:tr w:rsidR="00776C58" w:rsidRPr="009252B4" w14:paraId="3503D55E" w14:textId="77777777" w:rsidTr="006A40DD">
        <w:tc>
          <w:tcPr>
            <w:tcW w:w="2127" w:type="dxa"/>
            <w:vAlign w:val="center"/>
          </w:tcPr>
          <w:p w14:paraId="0E37D231" w14:textId="062B084B" w:rsidR="00776C58" w:rsidRPr="007A73A0" w:rsidRDefault="00776C58" w:rsidP="006A40DD">
            <w:pPr>
              <w:jc w:val="center"/>
            </w:pPr>
            <w:r>
              <w:rPr>
                <w:color w:val="000000"/>
              </w:rPr>
              <w:t xml:space="preserve">T2099 </w:t>
            </w:r>
            <w:r w:rsidR="006A40DD">
              <w:rPr>
                <w:color w:val="000000"/>
              </w:rPr>
              <w:t>(*)</w:t>
            </w:r>
          </w:p>
        </w:tc>
        <w:tc>
          <w:tcPr>
            <w:tcW w:w="2693" w:type="dxa"/>
            <w:vAlign w:val="center"/>
          </w:tcPr>
          <w:p w14:paraId="0E874F49" w14:textId="7D2DCAFB" w:rsidR="00776C58" w:rsidRDefault="00776C58" w:rsidP="006A40DD">
            <w:pPr>
              <w:jc w:val="center"/>
              <w:rPr>
                <w:color w:val="000000"/>
              </w:rPr>
            </w:pPr>
            <w:r>
              <w:rPr>
                <w:color w:val="000000"/>
              </w:rPr>
              <w:t>-</w:t>
            </w:r>
          </w:p>
        </w:tc>
        <w:tc>
          <w:tcPr>
            <w:tcW w:w="4253" w:type="dxa"/>
            <w:vAlign w:val="center"/>
          </w:tcPr>
          <w:p w14:paraId="3806BE7D" w14:textId="59B3B745" w:rsidR="00776C58" w:rsidRPr="009252B4" w:rsidRDefault="00776C58" w:rsidP="006A40DD">
            <w:pPr>
              <w:jc w:val="both"/>
              <w:rPr>
                <w:lang w:val="fr-FR"/>
              </w:rPr>
            </w:pPr>
            <w:r w:rsidRPr="009252B4">
              <w:rPr>
                <w:lang w:val="fr-FR"/>
              </w:rPr>
              <w:t xml:space="preserve">Bloque de </w:t>
            </w:r>
            <w:proofErr w:type="spellStart"/>
            <w:r w:rsidRPr="009252B4">
              <w:rPr>
                <w:lang w:val="fr-FR"/>
              </w:rPr>
              <w:t>conexión</w:t>
            </w:r>
            <w:proofErr w:type="spellEnd"/>
            <w:r w:rsidRPr="009252B4">
              <w:rPr>
                <w:lang w:val="fr-FR"/>
              </w:rPr>
              <w:t xml:space="preserve"> para bases de</w:t>
            </w:r>
          </w:p>
          <w:p w14:paraId="77F960CF" w14:textId="15F036C5" w:rsidR="00776C58" w:rsidRPr="009252B4" w:rsidRDefault="00776C58" w:rsidP="006A40DD">
            <w:pPr>
              <w:jc w:val="both"/>
              <w:rPr>
                <w:lang w:val="fr-FR"/>
              </w:rPr>
            </w:pPr>
            <w:proofErr w:type="spellStart"/>
            <w:r w:rsidRPr="009252B4">
              <w:rPr>
                <w:lang w:val="fr-FR"/>
              </w:rPr>
              <w:t>Enchufe</w:t>
            </w:r>
            <w:proofErr w:type="spellEnd"/>
            <w:r w:rsidRPr="009252B4">
              <w:rPr>
                <w:lang w:val="fr-FR"/>
              </w:rPr>
              <w:t xml:space="preserve"> / Connection block for socket </w:t>
            </w:r>
            <w:proofErr w:type="spellStart"/>
            <w:r w:rsidRPr="009252B4">
              <w:rPr>
                <w:lang w:val="fr-FR"/>
              </w:rPr>
              <w:t>outlet</w:t>
            </w:r>
            <w:proofErr w:type="spellEnd"/>
            <w:r w:rsidR="006A40DD" w:rsidRPr="009252B4">
              <w:rPr>
                <w:lang w:val="fr-FR"/>
              </w:rPr>
              <w:t xml:space="preserve"> / Bloc de connexion pour prises de courant</w:t>
            </w:r>
          </w:p>
        </w:tc>
      </w:tr>
      <w:tr w:rsidR="00776C58" w:rsidRPr="009252B4" w14:paraId="2BF00353" w14:textId="77777777" w:rsidTr="006A40DD">
        <w:tc>
          <w:tcPr>
            <w:tcW w:w="2127" w:type="dxa"/>
            <w:vAlign w:val="center"/>
          </w:tcPr>
          <w:p w14:paraId="3A790CB8" w14:textId="2B2811C4" w:rsidR="00776C58" w:rsidRPr="007A73A0" w:rsidRDefault="00776C58" w:rsidP="006A40DD">
            <w:pPr>
              <w:jc w:val="center"/>
            </w:pPr>
            <w:r>
              <w:rPr>
                <w:color w:val="000000"/>
              </w:rPr>
              <w:t xml:space="preserve">T2099.1 </w:t>
            </w:r>
            <w:r w:rsidR="006A40DD">
              <w:rPr>
                <w:color w:val="000000"/>
              </w:rPr>
              <w:t>(*)</w:t>
            </w:r>
          </w:p>
        </w:tc>
        <w:tc>
          <w:tcPr>
            <w:tcW w:w="2693" w:type="dxa"/>
            <w:vAlign w:val="center"/>
          </w:tcPr>
          <w:p w14:paraId="50E9C5E9" w14:textId="60D10CA6" w:rsidR="00776C58" w:rsidRDefault="00776C58" w:rsidP="006A40DD">
            <w:pPr>
              <w:jc w:val="center"/>
              <w:rPr>
                <w:color w:val="000000"/>
              </w:rPr>
            </w:pPr>
            <w:r>
              <w:rPr>
                <w:color w:val="000000"/>
              </w:rPr>
              <w:t>-</w:t>
            </w:r>
          </w:p>
        </w:tc>
        <w:tc>
          <w:tcPr>
            <w:tcW w:w="4253" w:type="dxa"/>
            <w:vAlign w:val="center"/>
          </w:tcPr>
          <w:p w14:paraId="335A5808" w14:textId="65C585F6" w:rsidR="00776C58" w:rsidRPr="009252B4" w:rsidRDefault="00776C58" w:rsidP="006A40DD">
            <w:pPr>
              <w:jc w:val="both"/>
              <w:rPr>
                <w:lang w:val="fr-FR"/>
              </w:rPr>
            </w:pPr>
            <w:r w:rsidRPr="009252B4">
              <w:rPr>
                <w:lang w:val="fr-FR"/>
              </w:rPr>
              <w:t xml:space="preserve">Bloque de </w:t>
            </w:r>
            <w:proofErr w:type="spellStart"/>
            <w:r w:rsidRPr="009252B4">
              <w:rPr>
                <w:lang w:val="fr-FR"/>
              </w:rPr>
              <w:t>conexión</w:t>
            </w:r>
            <w:proofErr w:type="spellEnd"/>
            <w:r w:rsidRPr="009252B4">
              <w:rPr>
                <w:lang w:val="fr-FR"/>
              </w:rPr>
              <w:t xml:space="preserve"> para bases de </w:t>
            </w:r>
            <w:proofErr w:type="spellStart"/>
            <w:r w:rsidRPr="009252B4">
              <w:rPr>
                <w:lang w:val="fr-FR"/>
              </w:rPr>
              <w:t>enchufe</w:t>
            </w:r>
            <w:proofErr w:type="spellEnd"/>
            <w:r w:rsidRPr="009252B4">
              <w:rPr>
                <w:lang w:val="fr-FR"/>
              </w:rPr>
              <w:t xml:space="preserve"> con </w:t>
            </w:r>
            <w:proofErr w:type="spellStart"/>
            <w:r w:rsidRPr="009252B4">
              <w:rPr>
                <w:lang w:val="fr-FR"/>
              </w:rPr>
              <w:t>separación</w:t>
            </w:r>
            <w:proofErr w:type="spellEnd"/>
            <w:r w:rsidRPr="009252B4">
              <w:rPr>
                <w:lang w:val="fr-FR"/>
              </w:rPr>
              <w:t xml:space="preserve"> de 1 </w:t>
            </w:r>
            <w:proofErr w:type="spellStart"/>
            <w:r w:rsidRPr="009252B4">
              <w:rPr>
                <w:lang w:val="fr-FR"/>
              </w:rPr>
              <w:t>módulo</w:t>
            </w:r>
            <w:proofErr w:type="spellEnd"/>
            <w:r w:rsidRPr="009252B4">
              <w:rPr>
                <w:lang w:val="fr-FR"/>
              </w:rPr>
              <w:t xml:space="preserve"> / Connection block for socket </w:t>
            </w:r>
            <w:proofErr w:type="spellStart"/>
            <w:r w:rsidRPr="009252B4">
              <w:rPr>
                <w:lang w:val="fr-FR"/>
              </w:rPr>
              <w:t>outlet</w:t>
            </w:r>
            <w:proofErr w:type="spellEnd"/>
            <w:r w:rsidRPr="009252B4">
              <w:rPr>
                <w:lang w:val="fr-FR"/>
              </w:rPr>
              <w:t xml:space="preserve"> </w:t>
            </w:r>
            <w:proofErr w:type="spellStart"/>
            <w:r w:rsidRPr="009252B4">
              <w:rPr>
                <w:lang w:val="fr-FR"/>
              </w:rPr>
              <w:t>with</w:t>
            </w:r>
            <w:proofErr w:type="spellEnd"/>
            <w:r w:rsidRPr="009252B4">
              <w:rPr>
                <w:lang w:val="fr-FR"/>
              </w:rPr>
              <w:t xml:space="preserve"> </w:t>
            </w:r>
            <w:proofErr w:type="spellStart"/>
            <w:r w:rsidR="006A40DD" w:rsidRPr="009252B4">
              <w:rPr>
                <w:lang w:val="fr-FR"/>
              </w:rPr>
              <w:t>separation</w:t>
            </w:r>
            <w:proofErr w:type="spellEnd"/>
            <w:r w:rsidR="006A40DD" w:rsidRPr="009252B4">
              <w:rPr>
                <w:lang w:val="fr-FR"/>
              </w:rPr>
              <w:t xml:space="preserve"> of a module / Bloc de connexion pour prises de courant avec séparation d'un module</w:t>
            </w:r>
          </w:p>
        </w:tc>
      </w:tr>
    </w:tbl>
    <w:p w14:paraId="5404C5E2" w14:textId="77777777" w:rsidR="006A40DD" w:rsidRPr="009252B4" w:rsidRDefault="006A40DD" w:rsidP="007A73A0">
      <w:pPr>
        <w:rPr>
          <w:b/>
          <w:lang w:val="fr-FR"/>
        </w:rPr>
      </w:pPr>
    </w:p>
    <w:p w14:paraId="16A812AB" w14:textId="65B10B20" w:rsidR="00FD716C" w:rsidRPr="009252B4" w:rsidRDefault="00FD716C" w:rsidP="007A73A0">
      <w:pPr>
        <w:rPr>
          <w:lang w:val="fr-FR"/>
        </w:rPr>
      </w:pPr>
      <w:r w:rsidRPr="00DE7F44">
        <w:rPr>
          <w:b/>
        </w:rPr>
        <w:t xml:space="preserve">Las terminaciones XX corresponden a los códigos de color del fabricante.                                                                                                </w:t>
      </w:r>
      <w:r w:rsidRPr="009252B4">
        <w:rPr>
          <w:lang w:val="fr-FR"/>
        </w:rPr>
        <w:t xml:space="preserve">The </w:t>
      </w:r>
      <w:proofErr w:type="spellStart"/>
      <w:r w:rsidRPr="009252B4">
        <w:rPr>
          <w:lang w:val="fr-FR"/>
        </w:rPr>
        <w:t>endings</w:t>
      </w:r>
      <w:proofErr w:type="spellEnd"/>
      <w:r w:rsidRPr="009252B4">
        <w:rPr>
          <w:lang w:val="fr-FR"/>
        </w:rPr>
        <w:t xml:space="preserve"> XX correspond to the </w:t>
      </w:r>
      <w:proofErr w:type="spellStart"/>
      <w:r w:rsidRPr="009252B4">
        <w:rPr>
          <w:lang w:val="fr-FR"/>
        </w:rPr>
        <w:t>manufacturer's</w:t>
      </w:r>
      <w:proofErr w:type="spellEnd"/>
      <w:r w:rsidRPr="009252B4">
        <w:rPr>
          <w:lang w:val="fr-FR"/>
        </w:rPr>
        <w:t xml:space="preserve"> </w:t>
      </w:r>
      <w:proofErr w:type="spellStart"/>
      <w:r w:rsidRPr="009252B4">
        <w:rPr>
          <w:lang w:val="fr-FR"/>
        </w:rPr>
        <w:t>colours</w:t>
      </w:r>
      <w:proofErr w:type="spellEnd"/>
      <w:r w:rsidRPr="009252B4">
        <w:rPr>
          <w:lang w:val="fr-FR"/>
        </w:rPr>
        <w:t xml:space="preserve"> code.                                                                                                         Terminaisons XX correspondent au codes de </w:t>
      </w:r>
      <w:proofErr w:type="gramStart"/>
      <w:r w:rsidRPr="009252B4">
        <w:rPr>
          <w:lang w:val="fr-FR"/>
        </w:rPr>
        <w:t>couleur  du</w:t>
      </w:r>
      <w:proofErr w:type="gramEnd"/>
      <w:r w:rsidRPr="009252B4">
        <w:rPr>
          <w:lang w:val="fr-FR"/>
        </w:rPr>
        <w:t xml:space="preserve"> fabricant.</w:t>
      </w:r>
    </w:p>
    <w:p w14:paraId="48E0E025" w14:textId="3BE9E935" w:rsidR="00FD716C" w:rsidRDefault="00776C58" w:rsidP="007A73A0">
      <w:pPr>
        <w:rPr>
          <w:b/>
        </w:rPr>
      </w:pPr>
      <w:r>
        <w:rPr>
          <w:b/>
        </w:rPr>
        <w:t>Antracita</w:t>
      </w:r>
      <w:r w:rsidR="00FD716C" w:rsidRPr="00DE7F44">
        <w:rPr>
          <w:b/>
        </w:rPr>
        <w:t xml:space="preserve"> (</w:t>
      </w:r>
      <w:r>
        <w:rPr>
          <w:b/>
        </w:rPr>
        <w:t>AN</w:t>
      </w:r>
      <w:r w:rsidR="00FD716C" w:rsidRPr="00DE7F44">
        <w:rPr>
          <w:b/>
        </w:rPr>
        <w:t xml:space="preserve">) </w:t>
      </w:r>
      <w:r>
        <w:rPr>
          <w:b/>
        </w:rPr>
        <w:t>Rojo</w:t>
      </w:r>
      <w:r w:rsidR="00FD716C" w:rsidRPr="00DE7F44">
        <w:rPr>
          <w:b/>
        </w:rPr>
        <w:t xml:space="preserve"> (</w:t>
      </w:r>
      <w:r>
        <w:rPr>
          <w:b/>
        </w:rPr>
        <w:t>RJ</w:t>
      </w:r>
      <w:r w:rsidR="00FD716C" w:rsidRPr="00DE7F44">
        <w:rPr>
          <w:b/>
        </w:rPr>
        <w:t xml:space="preserve">) </w:t>
      </w:r>
      <w:r>
        <w:rPr>
          <w:b/>
        </w:rPr>
        <w:t>Blanco</w:t>
      </w:r>
      <w:r w:rsidR="00FD716C" w:rsidRPr="00DE7F44">
        <w:rPr>
          <w:b/>
        </w:rPr>
        <w:t xml:space="preserve"> (</w:t>
      </w:r>
      <w:r>
        <w:rPr>
          <w:b/>
        </w:rPr>
        <w:t>BL</w:t>
      </w:r>
      <w:r w:rsidR="00FD716C" w:rsidRPr="00DE7F44">
        <w:rPr>
          <w:b/>
        </w:rPr>
        <w:t xml:space="preserve">) </w:t>
      </w:r>
    </w:p>
    <w:p w14:paraId="685166CF" w14:textId="1A01061C" w:rsidR="00D263CB" w:rsidRPr="009252B4" w:rsidRDefault="00D263CB" w:rsidP="00D263CB">
      <w:pPr>
        <w:rPr>
          <w:b/>
          <w:lang w:val="fr-FR"/>
        </w:rPr>
      </w:pPr>
      <w:r w:rsidRPr="00D263CB">
        <w:rPr>
          <w:b/>
        </w:rPr>
        <w:t>(</w:t>
      </w:r>
      <w:r w:rsidR="006A40DD" w:rsidRPr="00D263CB">
        <w:rPr>
          <w:b/>
        </w:rPr>
        <w:t xml:space="preserve">*) </w:t>
      </w:r>
      <w:r w:rsidRPr="00D263CB">
        <w:rPr>
          <w:b/>
        </w:rPr>
        <w:t>Esta referencia es conforme con la norma IEC 60228 Conductores de cables aislados.</w:t>
      </w:r>
      <w:r>
        <w:rPr>
          <w:b/>
        </w:rPr>
        <w:br/>
      </w:r>
      <w:r w:rsidR="006A40DD" w:rsidRPr="00D263CB">
        <w:rPr>
          <w:lang w:val="en-US"/>
        </w:rPr>
        <w:t xml:space="preserve">(*) </w:t>
      </w:r>
      <w:r w:rsidRPr="00D263CB">
        <w:rPr>
          <w:lang w:val="en-US"/>
        </w:rPr>
        <w:t>This</w:t>
      </w:r>
      <w:r w:rsidR="006A40DD" w:rsidRPr="00D263CB">
        <w:rPr>
          <w:lang w:val="en-US"/>
        </w:rPr>
        <w:t xml:space="preserve"> reference </w:t>
      </w:r>
      <w:r w:rsidRPr="00D263CB">
        <w:rPr>
          <w:lang w:val="en-US"/>
        </w:rPr>
        <w:t>is in conformity with the standard IEC 60228 Conductors of insulated cables</w:t>
      </w:r>
      <w:r>
        <w:rPr>
          <w:lang w:val="en-US"/>
        </w:rPr>
        <w:t>.</w:t>
      </w:r>
      <w:r w:rsidRPr="00D263CB">
        <w:rPr>
          <w:lang w:val="en-US"/>
        </w:rPr>
        <w:br/>
      </w:r>
      <w:r w:rsidR="006A40DD" w:rsidRPr="009252B4">
        <w:rPr>
          <w:lang w:val="fr-FR"/>
        </w:rPr>
        <w:t xml:space="preserve">(*) </w:t>
      </w:r>
      <w:r w:rsidRPr="009252B4">
        <w:rPr>
          <w:lang w:val="fr-FR"/>
        </w:rPr>
        <w:t>Cette</w:t>
      </w:r>
      <w:r w:rsidR="006A40DD" w:rsidRPr="009252B4">
        <w:rPr>
          <w:lang w:val="fr-FR"/>
        </w:rPr>
        <w:t xml:space="preserve"> référence est affectée par</w:t>
      </w:r>
      <w:r w:rsidRPr="009252B4">
        <w:rPr>
          <w:lang w:val="fr-FR"/>
        </w:rPr>
        <w:t xml:space="preserve"> la norme IEC 60228</w:t>
      </w:r>
      <w:r w:rsidR="006A40DD" w:rsidRPr="009252B4">
        <w:rPr>
          <w:lang w:val="fr-FR"/>
        </w:rPr>
        <w:t xml:space="preserve"> </w:t>
      </w:r>
      <w:r w:rsidRPr="009252B4">
        <w:rPr>
          <w:lang w:val="fr-FR"/>
        </w:rPr>
        <w:t>Ames des câbles isolés.</w:t>
      </w:r>
    </w:p>
    <w:p w14:paraId="22BFD80D" w14:textId="2D170CC3" w:rsidR="00080127" w:rsidRPr="009252B4" w:rsidRDefault="00FD716C" w:rsidP="007A73A0">
      <w:pPr>
        <w:rPr>
          <w:lang w:val="fr-FR"/>
        </w:rPr>
      </w:pPr>
      <w:r w:rsidRPr="00DE7F44">
        <w:rPr>
          <w:b/>
        </w:rPr>
        <w:t>Instalado de acuerdo con las Normas de instalación, instrucciones del fabricante especificadas en catálogo y conforme a las reglas profesionales, debidamente mantenido y utilizado en las aplicaciones para las que este previsto.</w:t>
      </w:r>
      <w:r w:rsidR="00080127" w:rsidRPr="00DE7F44">
        <w:rPr>
          <w:b/>
        </w:rPr>
        <w:tab/>
      </w:r>
      <w:r w:rsidRPr="00DE7F44">
        <w:rPr>
          <w:b/>
        </w:rPr>
        <w:br/>
      </w:r>
      <w:r w:rsidRPr="00FD716C">
        <w:rPr>
          <w:lang w:val="en-US"/>
        </w:rPr>
        <w:t>Installed in concordance to the installation standards, manufacturer's instructions specified in the catalogue and professional rules, duly maintained and used for the applications as intended.</w:t>
      </w:r>
      <w:r>
        <w:rPr>
          <w:lang w:val="en-US"/>
        </w:rPr>
        <w:br/>
      </w:r>
      <w:r w:rsidRPr="009252B4">
        <w:rPr>
          <w:lang w:val="fr-FR"/>
        </w:rPr>
        <w:t>Installé selon les normes d'installation, les instructions du fabricant spécifiées dans le catalogue et dans le respect des règles professionnelles, dûment entretenus et utilisés dans des applications pour lesquelles ce calendrier.</w:t>
      </w:r>
    </w:p>
    <w:p w14:paraId="34D03235" w14:textId="77777777" w:rsidR="00FD716C" w:rsidRPr="009252B4" w:rsidRDefault="00FD716C" w:rsidP="007A73A0">
      <w:pPr>
        <w:rPr>
          <w:lang w:val="fr-FR"/>
        </w:rPr>
      </w:pPr>
      <w:proofErr w:type="spellStart"/>
      <w:r w:rsidRPr="009252B4">
        <w:rPr>
          <w:b/>
          <w:lang w:val="fr-FR"/>
        </w:rPr>
        <w:t>Información</w:t>
      </w:r>
      <w:proofErr w:type="spellEnd"/>
      <w:r w:rsidRPr="009252B4">
        <w:rPr>
          <w:b/>
          <w:lang w:val="fr-FR"/>
        </w:rPr>
        <w:t xml:space="preserve"> </w:t>
      </w:r>
      <w:proofErr w:type="spellStart"/>
      <w:r w:rsidRPr="009252B4">
        <w:rPr>
          <w:b/>
          <w:lang w:val="fr-FR"/>
        </w:rPr>
        <w:t>adicional</w:t>
      </w:r>
      <w:proofErr w:type="spellEnd"/>
      <w:r w:rsidRPr="009252B4">
        <w:rPr>
          <w:lang w:val="fr-FR"/>
        </w:rPr>
        <w:t xml:space="preserve"> / </w:t>
      </w:r>
      <w:proofErr w:type="spellStart"/>
      <w:r w:rsidRPr="009252B4">
        <w:rPr>
          <w:lang w:val="fr-FR"/>
        </w:rPr>
        <w:t>Additional</w:t>
      </w:r>
      <w:proofErr w:type="spellEnd"/>
      <w:r w:rsidRPr="009252B4">
        <w:rPr>
          <w:lang w:val="fr-FR"/>
        </w:rPr>
        <w:t xml:space="preserve"> information / Information </w:t>
      </w:r>
      <w:proofErr w:type="gramStart"/>
      <w:r w:rsidRPr="009252B4">
        <w:rPr>
          <w:lang w:val="fr-FR"/>
        </w:rPr>
        <w:t>complémentaire:</w:t>
      </w:r>
      <w:proofErr w:type="gramEnd"/>
    </w:p>
    <w:p w14:paraId="3222D9AC" w14:textId="77777777" w:rsidR="00FD716C" w:rsidRPr="009252B4" w:rsidRDefault="00FD716C" w:rsidP="007A73A0">
      <w:pPr>
        <w:rPr>
          <w:lang w:val="fr-FR"/>
        </w:rPr>
      </w:pPr>
      <w:r w:rsidRPr="00DE7F44">
        <w:rPr>
          <w:b/>
        </w:rPr>
        <w:t>Este producto está previsto para ser instalado y mantenido por un profesional. Puede ser usado por una persona no cualificada, aunque suficientemente formada para reemplazamiento de uno idéntico.</w:t>
      </w:r>
      <w:r>
        <w:br/>
      </w:r>
      <w:r w:rsidRPr="00FD716C">
        <w:rPr>
          <w:lang w:val="en-US"/>
        </w:rPr>
        <w:t xml:space="preserve">This product is </w:t>
      </w:r>
      <w:proofErr w:type="spellStart"/>
      <w:r w:rsidRPr="00FD716C">
        <w:rPr>
          <w:lang w:val="en-US"/>
        </w:rPr>
        <w:t>intented</w:t>
      </w:r>
      <w:proofErr w:type="spellEnd"/>
      <w:r w:rsidRPr="00FD716C">
        <w:rPr>
          <w:lang w:val="en-US"/>
        </w:rPr>
        <w:t xml:space="preserve"> to be installed and </w:t>
      </w:r>
      <w:proofErr w:type="spellStart"/>
      <w:r w:rsidRPr="00FD716C">
        <w:rPr>
          <w:lang w:val="en-US"/>
        </w:rPr>
        <w:t>mantained</w:t>
      </w:r>
      <w:proofErr w:type="spellEnd"/>
      <w:r w:rsidRPr="00FD716C">
        <w:rPr>
          <w:lang w:val="en-US"/>
        </w:rPr>
        <w:t xml:space="preserve"> by skilled persons. It may be used by ordinary persons, although trained enough, for replacing an identical device.</w:t>
      </w:r>
      <w:r>
        <w:rPr>
          <w:lang w:val="en-US"/>
        </w:rPr>
        <w:br/>
      </w:r>
      <w:r w:rsidRPr="009252B4">
        <w:rPr>
          <w:lang w:val="fr-FR"/>
        </w:rPr>
        <w:lastRenderedPageBreak/>
        <w:t>Ce produit est destiné à être installé et entretenu par un professionnel. Il peut être utilisé par une personne non qualifiée, mais fait assez pour un remplacement identique.</w:t>
      </w:r>
    </w:p>
    <w:p w14:paraId="7E055AB8" w14:textId="77777777" w:rsidR="00FD716C" w:rsidRPr="009252B4" w:rsidRDefault="00FD716C" w:rsidP="007A73A0">
      <w:pPr>
        <w:rPr>
          <w:lang w:val="fr-FR"/>
        </w:rPr>
      </w:pPr>
    </w:p>
    <w:p w14:paraId="2E7650BC" w14:textId="77777777" w:rsidR="00FD716C" w:rsidRDefault="00FD716C" w:rsidP="007A73A0">
      <w:pPr>
        <w:rPr>
          <w:lang w:val="en-US"/>
        </w:rPr>
      </w:pPr>
      <w:r w:rsidRPr="009252B4">
        <w:rPr>
          <w:lang w:val="fr-FR"/>
        </w:rPr>
        <w:tab/>
      </w:r>
      <w:r w:rsidRPr="009252B4">
        <w:rPr>
          <w:lang w:val="fr-FR"/>
        </w:rPr>
        <w:tab/>
      </w:r>
      <w:r w:rsidRPr="009252B4">
        <w:rPr>
          <w:lang w:val="fr-FR"/>
        </w:rPr>
        <w:tab/>
      </w:r>
      <w:r w:rsidRPr="009252B4">
        <w:rPr>
          <w:lang w:val="fr-FR"/>
        </w:rPr>
        <w:tab/>
      </w:r>
      <w:r w:rsidRPr="009252B4">
        <w:rPr>
          <w:lang w:val="fr-FR"/>
        </w:rPr>
        <w:tab/>
      </w:r>
      <w:r w:rsidRPr="009252B4">
        <w:rPr>
          <w:lang w:val="fr-FR"/>
        </w:rPr>
        <w:tab/>
      </w:r>
      <w:r w:rsidRPr="009252B4">
        <w:rPr>
          <w:lang w:val="fr-FR"/>
        </w:rPr>
        <w:tab/>
      </w:r>
      <w:r w:rsidRPr="009252B4">
        <w:rPr>
          <w:lang w:val="fr-FR"/>
        </w:rPr>
        <w:tab/>
      </w:r>
      <w:proofErr w:type="spellStart"/>
      <w:r w:rsidRPr="00FD716C">
        <w:rPr>
          <w:lang w:val="en-US"/>
        </w:rPr>
        <w:t>Asea</w:t>
      </w:r>
      <w:proofErr w:type="spellEnd"/>
      <w:r w:rsidRPr="00FD716C">
        <w:rPr>
          <w:lang w:val="en-US"/>
        </w:rPr>
        <w:t xml:space="preserve"> Brown </w:t>
      </w:r>
      <w:proofErr w:type="spellStart"/>
      <w:r w:rsidRPr="00FD716C">
        <w:rPr>
          <w:lang w:val="en-US"/>
        </w:rPr>
        <w:t>Boveri</w:t>
      </w:r>
      <w:proofErr w:type="spellEnd"/>
      <w:r w:rsidRPr="00FD716C">
        <w:rPr>
          <w:lang w:val="en-US"/>
        </w:rPr>
        <w:t>, S.A.</w:t>
      </w:r>
      <w:r>
        <w:rPr>
          <w:lang w:val="en-US"/>
        </w:rPr>
        <w:br/>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sidRPr="00FD716C">
        <w:rPr>
          <w:lang w:val="en-US"/>
        </w:rPr>
        <w:t>Fabrica</w:t>
      </w:r>
      <w:proofErr w:type="spellEnd"/>
      <w:r w:rsidRPr="00FD716C">
        <w:rPr>
          <w:lang w:val="en-US"/>
        </w:rPr>
        <w:t xml:space="preserve"> NIESSEN</w:t>
      </w:r>
    </w:p>
    <w:p w14:paraId="0C041AEF" w14:textId="77777777" w:rsidR="00FD716C" w:rsidRDefault="00FD716C" w:rsidP="007A73A0">
      <w:pPr>
        <w:rPr>
          <w:lang w:val="en-US"/>
        </w:rPr>
      </w:pPr>
      <w:proofErr w:type="spellStart"/>
      <w:r w:rsidRPr="00DE7F44">
        <w:rPr>
          <w:b/>
          <w:lang w:val="en-US"/>
        </w:rPr>
        <w:t>Año</w:t>
      </w:r>
      <w:proofErr w:type="spellEnd"/>
      <w:r w:rsidRPr="00DE7F44">
        <w:rPr>
          <w:b/>
          <w:lang w:val="en-US"/>
        </w:rPr>
        <w:t xml:space="preserve"> del </w:t>
      </w:r>
      <w:proofErr w:type="spellStart"/>
      <w:r w:rsidRPr="00DE7F44">
        <w:rPr>
          <w:b/>
          <w:lang w:val="en-US"/>
        </w:rPr>
        <w:t>marcado</w:t>
      </w:r>
      <w:proofErr w:type="spellEnd"/>
      <w:r w:rsidRPr="00DE7F44">
        <w:rPr>
          <w:b/>
          <w:lang w:val="en-US"/>
        </w:rPr>
        <w:t xml:space="preserve"> CE:</w:t>
      </w:r>
      <w:r>
        <w:rPr>
          <w:lang w:val="en-US"/>
        </w:rPr>
        <w:br/>
      </w:r>
      <w:r w:rsidRPr="00FD716C">
        <w:rPr>
          <w:lang w:val="en-US"/>
        </w:rPr>
        <w:t>Year of CE marking:</w:t>
      </w:r>
      <w:r>
        <w:rPr>
          <w:lang w:val="en-US"/>
        </w:rPr>
        <w:br/>
      </w:r>
      <w:proofErr w:type="spellStart"/>
      <w:r w:rsidRPr="00FD716C">
        <w:rPr>
          <w:lang w:val="en-US"/>
        </w:rPr>
        <w:t>Année</w:t>
      </w:r>
      <w:proofErr w:type="spellEnd"/>
      <w:r w:rsidRPr="00FD716C">
        <w:rPr>
          <w:lang w:val="en-US"/>
        </w:rPr>
        <w:t xml:space="preserve"> de </w:t>
      </w:r>
      <w:proofErr w:type="spellStart"/>
      <w:r w:rsidRPr="00FD716C">
        <w:rPr>
          <w:lang w:val="en-US"/>
        </w:rPr>
        <w:t>marquage</w:t>
      </w:r>
      <w:proofErr w:type="spellEnd"/>
      <w:r w:rsidRPr="00FD716C">
        <w:rPr>
          <w:lang w:val="en-US"/>
        </w:rPr>
        <w:t xml:space="preserve"> CE:</w:t>
      </w:r>
    </w:p>
    <w:p w14:paraId="148A061D" w14:textId="77777777" w:rsidR="00BD279F" w:rsidRDefault="00BD279F" w:rsidP="007A73A0">
      <w:pPr>
        <w:rPr>
          <w:lang w:val="en-US"/>
        </w:rPr>
      </w:pPr>
      <w:r>
        <w:rPr>
          <w:lang w:val="en-US"/>
        </w:rPr>
        <w:t xml:space="preserve">Oiartzun, a </w:t>
      </w:r>
      <w:r>
        <w:rPr>
          <w:lang w:val="en-US"/>
        </w:rPr>
        <w:tab/>
      </w:r>
    </w:p>
    <w:p w14:paraId="0E193E5C" w14:textId="77777777" w:rsidR="00BD279F" w:rsidRPr="000C549E" w:rsidRDefault="00E5760F" w:rsidP="007A73A0">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 xml:space="preserve">          </w:t>
      </w:r>
      <w:proofErr w:type="spellStart"/>
      <w:r w:rsidRPr="000C549E">
        <w:rPr>
          <w:lang w:val="en-US"/>
        </w:rPr>
        <w:t>Iñaki</w:t>
      </w:r>
      <w:proofErr w:type="spellEnd"/>
      <w:r w:rsidRPr="000C549E">
        <w:rPr>
          <w:lang w:val="en-US"/>
        </w:rPr>
        <w:t xml:space="preserve"> Lete</w:t>
      </w:r>
      <w:r w:rsidRPr="000C549E">
        <w:rPr>
          <w:lang w:val="en-US"/>
        </w:rPr>
        <w:br/>
      </w:r>
      <w:r w:rsidRPr="000C549E">
        <w:rPr>
          <w:lang w:val="en-US"/>
        </w:rPr>
        <w:tab/>
      </w:r>
      <w:r w:rsidRPr="000C549E">
        <w:rPr>
          <w:lang w:val="en-US"/>
        </w:rPr>
        <w:tab/>
      </w:r>
      <w:r w:rsidRPr="000C549E">
        <w:rPr>
          <w:lang w:val="en-US"/>
        </w:rPr>
        <w:tab/>
      </w:r>
      <w:r w:rsidRPr="000C549E">
        <w:rPr>
          <w:lang w:val="en-US"/>
        </w:rPr>
        <w:tab/>
        <w:t xml:space="preserve">             </w:t>
      </w:r>
      <w:r w:rsidR="00BD279F" w:rsidRPr="000C549E">
        <w:rPr>
          <w:lang w:val="en-US"/>
        </w:rPr>
        <w:t>Director General – General Director</w:t>
      </w:r>
      <w:r w:rsidRPr="000C549E">
        <w:rPr>
          <w:lang w:val="en-US"/>
        </w:rPr>
        <w:t xml:space="preserve"> – </w:t>
      </w:r>
      <w:r w:rsidR="00BD279F" w:rsidRPr="000C549E">
        <w:rPr>
          <w:lang w:val="en-US"/>
        </w:rPr>
        <w:t>D</w:t>
      </w:r>
      <w:r w:rsidRPr="000C549E">
        <w:rPr>
          <w:lang w:val="en-US"/>
        </w:rPr>
        <w:t xml:space="preserve">irecteur </w:t>
      </w:r>
      <w:proofErr w:type="spellStart"/>
      <w:r w:rsidRPr="000C549E">
        <w:rPr>
          <w:lang w:val="en-US"/>
        </w:rPr>
        <w:t>Général</w:t>
      </w:r>
      <w:proofErr w:type="spellEnd"/>
    </w:p>
    <w:p w14:paraId="797A0F42" w14:textId="77777777" w:rsidR="00E5760F" w:rsidRPr="000C549E" w:rsidRDefault="00E5760F" w:rsidP="007A73A0">
      <w:pPr>
        <w:rPr>
          <w:lang w:val="en-US"/>
        </w:rPr>
      </w:pPr>
    </w:p>
    <w:p w14:paraId="5AA84DE3" w14:textId="77777777" w:rsidR="00BD279F" w:rsidRPr="000C549E" w:rsidRDefault="00BD279F" w:rsidP="007A73A0">
      <w:pPr>
        <w:rPr>
          <w:lang w:val="en-US"/>
        </w:rPr>
      </w:pPr>
    </w:p>
    <w:p w14:paraId="05C0E17F" w14:textId="77777777" w:rsidR="00FD716C" w:rsidRPr="000C549E" w:rsidRDefault="00FD716C" w:rsidP="007A73A0">
      <w:pPr>
        <w:rPr>
          <w:lang w:val="en-US"/>
        </w:rPr>
      </w:pPr>
    </w:p>
    <w:sectPr w:rsidR="00FD716C" w:rsidRPr="000C549E" w:rsidSect="00233AA1">
      <w:headerReference w:type="first" r:id="rId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41D63" w14:textId="77777777" w:rsidR="006068B2" w:rsidRDefault="006068B2" w:rsidP="00233AA1">
      <w:pPr>
        <w:spacing w:after="0" w:line="240" w:lineRule="auto"/>
      </w:pPr>
      <w:r>
        <w:separator/>
      </w:r>
    </w:p>
  </w:endnote>
  <w:endnote w:type="continuationSeparator" w:id="0">
    <w:p w14:paraId="2AE71A27" w14:textId="77777777" w:rsidR="006068B2" w:rsidRDefault="006068B2" w:rsidP="0023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BB Logo">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22AA0" w14:textId="77777777" w:rsidR="006068B2" w:rsidRDefault="006068B2" w:rsidP="00233AA1">
      <w:pPr>
        <w:spacing w:after="0" w:line="240" w:lineRule="auto"/>
      </w:pPr>
      <w:r>
        <w:separator/>
      </w:r>
    </w:p>
  </w:footnote>
  <w:footnote w:type="continuationSeparator" w:id="0">
    <w:p w14:paraId="34430EC6" w14:textId="77777777" w:rsidR="006068B2" w:rsidRDefault="006068B2" w:rsidP="00233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33AA1" w14:paraId="7A4C6B9D" w14:textId="77777777" w:rsidTr="00C623FA">
      <w:trPr>
        <w:jc w:val="center"/>
      </w:trPr>
      <w:tc>
        <w:tcPr>
          <w:tcW w:w="4247" w:type="dxa"/>
        </w:tcPr>
        <w:p w14:paraId="2F042FE4" w14:textId="77777777" w:rsidR="00233AA1" w:rsidRDefault="00233AA1" w:rsidP="00233AA1">
          <w:pPr>
            <w:rPr>
              <w:b/>
              <w:u w:val="single"/>
            </w:rPr>
          </w:pPr>
        </w:p>
        <w:p w14:paraId="4EAE1498" w14:textId="77777777" w:rsidR="00233AA1" w:rsidRPr="0038347D" w:rsidRDefault="00233AA1" w:rsidP="00233AA1">
          <w:pPr>
            <w:rPr>
              <w:b/>
              <w:u w:val="single"/>
            </w:rPr>
          </w:pPr>
          <w:r w:rsidRPr="0099284F">
            <w:rPr>
              <w:b/>
              <w:u w:val="single"/>
            </w:rPr>
            <w:t>DECLARACION DE CONFORMIDAD</w:t>
          </w:r>
        </w:p>
      </w:tc>
      <w:tc>
        <w:tcPr>
          <w:tcW w:w="4247" w:type="dxa"/>
          <w:vMerge w:val="restart"/>
        </w:tcPr>
        <w:p w14:paraId="0758F219" w14:textId="77777777" w:rsidR="00233AA1" w:rsidRDefault="00233AA1" w:rsidP="00233AA1">
          <w:pPr>
            <w:jc w:val="right"/>
            <w:rPr>
              <w:rFonts w:ascii="ABB Logo" w:eastAsia="Times New Roman" w:hAnsi="ABB Logo" w:cs="Times New Roman"/>
              <w:color w:val="FF0000"/>
              <w:sz w:val="112"/>
              <w:szCs w:val="112"/>
              <w:lang w:eastAsia="es-ES"/>
            </w:rPr>
          </w:pPr>
          <w:r>
            <w:rPr>
              <w:noProof/>
              <w:lang w:eastAsia="es-ES"/>
            </w:rPr>
            <w:drawing>
              <wp:anchor distT="0" distB="0" distL="114300" distR="114300" simplePos="0" relativeHeight="251659264" behindDoc="0" locked="0" layoutInCell="1" allowOverlap="1" wp14:anchorId="473F587A" wp14:editId="64322014">
                <wp:simplePos x="0" y="0"/>
                <wp:positionH relativeFrom="column">
                  <wp:posOffset>27276</wp:posOffset>
                </wp:positionH>
                <wp:positionV relativeFrom="paragraph">
                  <wp:posOffset>109845</wp:posOffset>
                </wp:positionV>
                <wp:extent cx="914400" cy="660025"/>
                <wp:effectExtent l="0" t="0" r="0" b="698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600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ABB Logo" w:eastAsia="Times New Roman" w:hAnsi="ABB Logo" w:cs="Times New Roman"/>
              <w:color w:val="FF0000"/>
              <w:sz w:val="112"/>
              <w:szCs w:val="112"/>
              <w:lang w:eastAsia="es-ES"/>
            </w:rPr>
            <w:t></w:t>
          </w:r>
          <w:r>
            <w:rPr>
              <w:rFonts w:ascii="ABB Logo" w:eastAsia="Times New Roman" w:hAnsi="ABB Logo" w:cs="Times New Roman"/>
              <w:color w:val="FF0000"/>
              <w:sz w:val="112"/>
              <w:szCs w:val="112"/>
              <w:lang w:eastAsia="es-ES"/>
            </w:rPr>
            <w:t></w:t>
          </w:r>
          <w:r>
            <w:rPr>
              <w:rFonts w:ascii="ABB Logo" w:eastAsia="Times New Roman" w:hAnsi="ABB Logo" w:cs="Times New Roman"/>
              <w:color w:val="FF0000"/>
              <w:sz w:val="112"/>
              <w:szCs w:val="112"/>
              <w:lang w:eastAsia="es-ES"/>
            </w:rPr>
            <w:t></w:t>
          </w:r>
        </w:p>
      </w:tc>
    </w:tr>
    <w:tr w:rsidR="00233AA1" w14:paraId="76C59B04" w14:textId="77777777" w:rsidTr="00C623FA">
      <w:trPr>
        <w:jc w:val="center"/>
      </w:trPr>
      <w:tc>
        <w:tcPr>
          <w:tcW w:w="4247" w:type="dxa"/>
        </w:tcPr>
        <w:p w14:paraId="60C971A0" w14:textId="77777777" w:rsidR="00233AA1" w:rsidRPr="0038347D" w:rsidRDefault="00233AA1" w:rsidP="00233AA1">
          <w:pPr>
            <w:rPr>
              <w:b/>
              <w:u w:val="single"/>
            </w:rPr>
          </w:pPr>
          <w:r>
            <w:rPr>
              <w:b/>
              <w:u w:val="single"/>
            </w:rPr>
            <w:t>DECLARATION OF CONFORMITY</w:t>
          </w:r>
        </w:p>
      </w:tc>
      <w:tc>
        <w:tcPr>
          <w:tcW w:w="4247" w:type="dxa"/>
          <w:vMerge/>
          <w:vAlign w:val="center"/>
        </w:tcPr>
        <w:p w14:paraId="2B18F040" w14:textId="77777777" w:rsidR="00233AA1" w:rsidRDefault="00233AA1" w:rsidP="00233AA1">
          <w:pPr>
            <w:jc w:val="center"/>
            <w:rPr>
              <w:rFonts w:ascii="ABB Logo" w:eastAsia="Times New Roman" w:hAnsi="ABB Logo" w:cs="Times New Roman"/>
              <w:color w:val="FF0000"/>
              <w:sz w:val="112"/>
              <w:szCs w:val="112"/>
              <w:lang w:eastAsia="es-ES"/>
            </w:rPr>
          </w:pPr>
        </w:p>
      </w:tc>
    </w:tr>
    <w:tr w:rsidR="00233AA1" w14:paraId="5CB5D87F" w14:textId="77777777" w:rsidTr="00C623FA">
      <w:trPr>
        <w:jc w:val="center"/>
      </w:trPr>
      <w:tc>
        <w:tcPr>
          <w:tcW w:w="4247" w:type="dxa"/>
        </w:tcPr>
        <w:p w14:paraId="15D8EB81" w14:textId="77777777" w:rsidR="00233AA1" w:rsidRPr="0038347D" w:rsidRDefault="00233AA1" w:rsidP="00233AA1">
          <w:pPr>
            <w:rPr>
              <w:b/>
              <w:u w:val="single"/>
            </w:rPr>
          </w:pPr>
          <w:r>
            <w:rPr>
              <w:b/>
              <w:u w:val="single"/>
            </w:rPr>
            <w:t>DÉCLARATION DE CONFORMITÉ</w:t>
          </w:r>
        </w:p>
      </w:tc>
      <w:tc>
        <w:tcPr>
          <w:tcW w:w="4247" w:type="dxa"/>
          <w:vMerge/>
          <w:vAlign w:val="center"/>
        </w:tcPr>
        <w:p w14:paraId="3DCF81DD" w14:textId="77777777" w:rsidR="00233AA1" w:rsidRDefault="00233AA1" w:rsidP="00233AA1">
          <w:pPr>
            <w:jc w:val="center"/>
            <w:rPr>
              <w:rFonts w:ascii="ABB Logo" w:eastAsia="Times New Roman" w:hAnsi="ABB Logo" w:cs="Times New Roman"/>
              <w:color w:val="FF0000"/>
              <w:sz w:val="112"/>
              <w:szCs w:val="112"/>
              <w:lang w:eastAsia="es-ES"/>
            </w:rPr>
          </w:pPr>
        </w:p>
      </w:tc>
    </w:tr>
  </w:tbl>
  <w:p w14:paraId="52C68A36" w14:textId="77777777" w:rsidR="00233AA1" w:rsidRDefault="00233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B0D"/>
    <w:rsid w:val="00011AB0"/>
    <w:rsid w:val="00080127"/>
    <w:rsid w:val="000C549E"/>
    <w:rsid w:val="00137DE6"/>
    <w:rsid w:val="0022356A"/>
    <w:rsid w:val="00233AA1"/>
    <w:rsid w:val="0038347D"/>
    <w:rsid w:val="004044F5"/>
    <w:rsid w:val="004B3C14"/>
    <w:rsid w:val="004F5555"/>
    <w:rsid w:val="005E0A90"/>
    <w:rsid w:val="006068B2"/>
    <w:rsid w:val="00651E67"/>
    <w:rsid w:val="006A40DD"/>
    <w:rsid w:val="00776C58"/>
    <w:rsid w:val="00780286"/>
    <w:rsid w:val="007A73A0"/>
    <w:rsid w:val="00816BBD"/>
    <w:rsid w:val="008E1B0D"/>
    <w:rsid w:val="009252B4"/>
    <w:rsid w:val="0099284F"/>
    <w:rsid w:val="00A763F8"/>
    <w:rsid w:val="00B92267"/>
    <w:rsid w:val="00BD12C9"/>
    <w:rsid w:val="00BD279F"/>
    <w:rsid w:val="00D263CB"/>
    <w:rsid w:val="00DE7F44"/>
    <w:rsid w:val="00E040FE"/>
    <w:rsid w:val="00E11242"/>
    <w:rsid w:val="00E5760F"/>
    <w:rsid w:val="00FD71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6131"/>
  <w15:chartTrackingRefBased/>
  <w15:docId w15:val="{82E264D4-DAB8-4212-8B34-E9989480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3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12C9"/>
    <w:rPr>
      <w:sz w:val="16"/>
      <w:szCs w:val="16"/>
    </w:rPr>
  </w:style>
  <w:style w:type="paragraph" w:styleId="CommentText">
    <w:name w:val="annotation text"/>
    <w:basedOn w:val="Normal"/>
    <w:link w:val="CommentTextChar"/>
    <w:uiPriority w:val="99"/>
    <w:semiHidden/>
    <w:unhideWhenUsed/>
    <w:rsid w:val="00BD12C9"/>
    <w:pPr>
      <w:spacing w:line="240" w:lineRule="auto"/>
    </w:pPr>
    <w:rPr>
      <w:sz w:val="20"/>
      <w:szCs w:val="20"/>
    </w:rPr>
  </w:style>
  <w:style w:type="character" w:customStyle="1" w:styleId="CommentTextChar">
    <w:name w:val="Comment Text Char"/>
    <w:basedOn w:val="DefaultParagraphFont"/>
    <w:link w:val="CommentText"/>
    <w:uiPriority w:val="99"/>
    <w:semiHidden/>
    <w:rsid w:val="00BD12C9"/>
    <w:rPr>
      <w:sz w:val="20"/>
      <w:szCs w:val="20"/>
    </w:rPr>
  </w:style>
  <w:style w:type="paragraph" w:styleId="CommentSubject">
    <w:name w:val="annotation subject"/>
    <w:basedOn w:val="CommentText"/>
    <w:next w:val="CommentText"/>
    <w:link w:val="CommentSubjectChar"/>
    <w:uiPriority w:val="99"/>
    <w:semiHidden/>
    <w:unhideWhenUsed/>
    <w:rsid w:val="00BD12C9"/>
    <w:rPr>
      <w:b/>
      <w:bCs/>
    </w:rPr>
  </w:style>
  <w:style w:type="character" w:customStyle="1" w:styleId="CommentSubjectChar">
    <w:name w:val="Comment Subject Char"/>
    <w:basedOn w:val="CommentTextChar"/>
    <w:link w:val="CommentSubject"/>
    <w:uiPriority w:val="99"/>
    <w:semiHidden/>
    <w:rsid w:val="00BD12C9"/>
    <w:rPr>
      <w:b/>
      <w:bCs/>
      <w:sz w:val="20"/>
      <w:szCs w:val="20"/>
    </w:rPr>
  </w:style>
  <w:style w:type="paragraph" w:styleId="BalloonText">
    <w:name w:val="Balloon Text"/>
    <w:basedOn w:val="Normal"/>
    <w:link w:val="BalloonTextChar"/>
    <w:uiPriority w:val="99"/>
    <w:semiHidden/>
    <w:unhideWhenUsed/>
    <w:rsid w:val="00BD1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2C9"/>
    <w:rPr>
      <w:rFonts w:ascii="Segoe UI" w:hAnsi="Segoe UI" w:cs="Segoe UI"/>
      <w:sz w:val="18"/>
      <w:szCs w:val="18"/>
    </w:rPr>
  </w:style>
  <w:style w:type="paragraph" w:styleId="Header">
    <w:name w:val="header"/>
    <w:basedOn w:val="Normal"/>
    <w:link w:val="HeaderChar"/>
    <w:uiPriority w:val="99"/>
    <w:unhideWhenUsed/>
    <w:rsid w:val="00233AA1"/>
    <w:pPr>
      <w:tabs>
        <w:tab w:val="center" w:pos="4252"/>
        <w:tab w:val="right" w:pos="8504"/>
      </w:tabs>
      <w:spacing w:after="0" w:line="240" w:lineRule="auto"/>
    </w:pPr>
  </w:style>
  <w:style w:type="character" w:customStyle="1" w:styleId="HeaderChar">
    <w:name w:val="Header Char"/>
    <w:basedOn w:val="DefaultParagraphFont"/>
    <w:link w:val="Header"/>
    <w:uiPriority w:val="99"/>
    <w:rsid w:val="00233AA1"/>
  </w:style>
  <w:style w:type="paragraph" w:styleId="Footer">
    <w:name w:val="footer"/>
    <w:basedOn w:val="Normal"/>
    <w:link w:val="FooterChar"/>
    <w:uiPriority w:val="99"/>
    <w:unhideWhenUsed/>
    <w:rsid w:val="00233AA1"/>
    <w:pPr>
      <w:tabs>
        <w:tab w:val="center" w:pos="4252"/>
        <w:tab w:val="right" w:pos="8504"/>
      </w:tabs>
      <w:spacing w:after="0" w:line="240" w:lineRule="auto"/>
    </w:pPr>
  </w:style>
  <w:style w:type="character" w:customStyle="1" w:styleId="FooterChar">
    <w:name w:val="Footer Char"/>
    <w:basedOn w:val="DefaultParagraphFont"/>
    <w:link w:val="Footer"/>
    <w:uiPriority w:val="99"/>
    <w:rsid w:val="0023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97100">
      <w:bodyDiv w:val="1"/>
      <w:marLeft w:val="0"/>
      <w:marRight w:val="0"/>
      <w:marTop w:val="0"/>
      <w:marBottom w:val="0"/>
      <w:divBdr>
        <w:top w:val="none" w:sz="0" w:space="0" w:color="auto"/>
        <w:left w:val="none" w:sz="0" w:space="0" w:color="auto"/>
        <w:bottom w:val="none" w:sz="0" w:space="0" w:color="auto"/>
        <w:right w:val="none" w:sz="0" w:space="0" w:color="auto"/>
      </w:divBdr>
    </w:div>
    <w:div w:id="458691319">
      <w:bodyDiv w:val="1"/>
      <w:marLeft w:val="0"/>
      <w:marRight w:val="0"/>
      <w:marTop w:val="0"/>
      <w:marBottom w:val="0"/>
      <w:divBdr>
        <w:top w:val="none" w:sz="0" w:space="0" w:color="auto"/>
        <w:left w:val="none" w:sz="0" w:space="0" w:color="auto"/>
        <w:bottom w:val="none" w:sz="0" w:space="0" w:color="auto"/>
        <w:right w:val="none" w:sz="0" w:space="0" w:color="auto"/>
      </w:divBdr>
    </w:div>
    <w:div w:id="471406216">
      <w:bodyDiv w:val="1"/>
      <w:marLeft w:val="0"/>
      <w:marRight w:val="0"/>
      <w:marTop w:val="0"/>
      <w:marBottom w:val="0"/>
      <w:divBdr>
        <w:top w:val="none" w:sz="0" w:space="0" w:color="auto"/>
        <w:left w:val="none" w:sz="0" w:space="0" w:color="auto"/>
        <w:bottom w:val="none" w:sz="0" w:space="0" w:color="auto"/>
        <w:right w:val="none" w:sz="0" w:space="0" w:color="auto"/>
      </w:divBdr>
    </w:div>
    <w:div w:id="1080637484">
      <w:bodyDiv w:val="1"/>
      <w:marLeft w:val="0"/>
      <w:marRight w:val="0"/>
      <w:marTop w:val="0"/>
      <w:marBottom w:val="0"/>
      <w:divBdr>
        <w:top w:val="none" w:sz="0" w:space="0" w:color="auto"/>
        <w:left w:val="none" w:sz="0" w:space="0" w:color="auto"/>
        <w:bottom w:val="none" w:sz="0" w:space="0" w:color="auto"/>
        <w:right w:val="none" w:sz="0" w:space="0" w:color="auto"/>
      </w:divBdr>
    </w:div>
    <w:div w:id="1201019990">
      <w:bodyDiv w:val="1"/>
      <w:marLeft w:val="0"/>
      <w:marRight w:val="0"/>
      <w:marTop w:val="0"/>
      <w:marBottom w:val="0"/>
      <w:divBdr>
        <w:top w:val="none" w:sz="0" w:space="0" w:color="auto"/>
        <w:left w:val="none" w:sz="0" w:space="0" w:color="auto"/>
        <w:bottom w:val="none" w:sz="0" w:space="0" w:color="auto"/>
        <w:right w:val="none" w:sz="0" w:space="0" w:color="auto"/>
      </w:divBdr>
    </w:div>
    <w:div w:id="1628510316">
      <w:bodyDiv w:val="1"/>
      <w:marLeft w:val="0"/>
      <w:marRight w:val="0"/>
      <w:marTop w:val="0"/>
      <w:marBottom w:val="0"/>
      <w:divBdr>
        <w:top w:val="none" w:sz="0" w:space="0" w:color="auto"/>
        <w:left w:val="none" w:sz="0" w:space="0" w:color="auto"/>
        <w:bottom w:val="none" w:sz="0" w:space="0" w:color="auto"/>
        <w:right w:val="none" w:sz="0" w:space="0" w:color="auto"/>
      </w:divBdr>
    </w:div>
    <w:div w:id="1774979396">
      <w:bodyDiv w:val="1"/>
      <w:marLeft w:val="0"/>
      <w:marRight w:val="0"/>
      <w:marTop w:val="0"/>
      <w:marBottom w:val="0"/>
      <w:divBdr>
        <w:top w:val="none" w:sz="0" w:space="0" w:color="auto"/>
        <w:left w:val="none" w:sz="0" w:space="0" w:color="auto"/>
        <w:bottom w:val="none" w:sz="0" w:space="0" w:color="auto"/>
        <w:right w:val="none" w:sz="0" w:space="0" w:color="auto"/>
      </w:divBdr>
    </w:div>
    <w:div w:id="21147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923C7-9E68-4B91-897F-AFFB6CCD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Gordo</dc:creator>
  <cp:keywords/>
  <dc:description/>
  <cp:lastModifiedBy>Mikel Vallejo</cp:lastModifiedBy>
  <cp:revision>2</cp:revision>
  <dcterms:created xsi:type="dcterms:W3CDTF">2019-07-19T12:51:00Z</dcterms:created>
  <dcterms:modified xsi:type="dcterms:W3CDTF">2019-07-19T12:51:00Z</dcterms:modified>
</cp:coreProperties>
</file>